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d15591ddcd204022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7CD" w:rsidRDefault="005B27CD">
      <w:bookmarkStart w:id="0" w:name="_GoBack"/>
      <w:bookmarkEnd w:id="0"/>
      <w:r>
        <w:t>Note for Scrutiny Panel</w:t>
      </w:r>
      <w:r w:rsidR="00FA1B37">
        <w:t xml:space="preserve"> 5</w:t>
      </w:r>
      <w:r w:rsidR="00FA1B37" w:rsidRPr="00FA1B37">
        <w:rPr>
          <w:vertAlign w:val="superscript"/>
        </w:rPr>
        <w:t>th</w:t>
      </w:r>
      <w:r w:rsidR="00FA1B37">
        <w:t xml:space="preserve"> </w:t>
      </w:r>
      <w:r>
        <w:t>December 2013.</w:t>
      </w:r>
    </w:p>
    <w:p w:rsidR="005B27CD" w:rsidRDefault="005B27CD"/>
    <w:p w:rsidR="005B27CD" w:rsidRPr="00E411B2" w:rsidRDefault="005B27CD" w:rsidP="00E411B2">
      <w:pPr>
        <w:pStyle w:val="ListParagraph"/>
        <w:numPr>
          <w:ilvl w:val="0"/>
          <w:numId w:val="3"/>
        </w:numPr>
        <w:rPr>
          <w:u w:val="single"/>
        </w:rPr>
      </w:pPr>
      <w:r w:rsidRPr="00E411B2">
        <w:rPr>
          <w:u w:val="single"/>
        </w:rPr>
        <w:t>STAR</w:t>
      </w:r>
      <w:r w:rsidR="00E411B2" w:rsidRPr="00E411B2">
        <w:rPr>
          <w:u w:val="single"/>
        </w:rPr>
        <w:t xml:space="preserve"> - Methodology</w:t>
      </w:r>
    </w:p>
    <w:p w:rsidR="005B27CD" w:rsidRDefault="005B27CD" w:rsidP="005B27CD"/>
    <w:p w:rsidR="00E411B2" w:rsidRDefault="005B27CD" w:rsidP="00891E66">
      <w:pPr>
        <w:pStyle w:val="ListParagraph"/>
        <w:numPr>
          <w:ilvl w:val="0"/>
          <w:numId w:val="4"/>
        </w:numPr>
      </w:pPr>
      <w:r>
        <w:t xml:space="preserve">STAR is a standard survey used to measure tenant and leaseholder satisfaction with housing services across a number of areas. </w:t>
      </w:r>
      <w:r w:rsidR="00E411B2">
        <w:t>STAR replaced the previous statutory satisfaction survey STATUS which was abolished by the Department for Communities and Local Government (DCLG) in November 2010.</w:t>
      </w:r>
    </w:p>
    <w:p w:rsidR="003D2E12" w:rsidRDefault="003D2E12" w:rsidP="00E411B2"/>
    <w:p w:rsidR="00FC526E" w:rsidRDefault="003D2E12" w:rsidP="00891E66">
      <w:pPr>
        <w:pStyle w:val="ListParagraph"/>
        <w:numPr>
          <w:ilvl w:val="0"/>
          <w:numId w:val="4"/>
        </w:numPr>
      </w:pPr>
      <w:r>
        <w:t>HouseMark offers a benchmarking service for the survey results. Social Housing providers submit their data voluntarily</w:t>
      </w:r>
      <w:r w:rsidR="00E96944">
        <w:t xml:space="preserve"> and do not all use the same questions</w:t>
      </w:r>
      <w:r>
        <w:t>.</w:t>
      </w:r>
      <w:r w:rsidR="00E96944">
        <w:t xml:space="preserve"> Providers are able to add or remove questions to suit their local requirements.</w:t>
      </w:r>
      <w:r>
        <w:t xml:space="preserve"> </w:t>
      </w:r>
      <w:r w:rsidR="00E96944">
        <w:t xml:space="preserve">The published results are for those core questions that everyone submits. </w:t>
      </w:r>
    </w:p>
    <w:p w:rsidR="00E411B2" w:rsidRDefault="00E411B2" w:rsidP="005B27CD"/>
    <w:p w:rsidR="005B27CD" w:rsidRDefault="005B27CD" w:rsidP="00891E66">
      <w:pPr>
        <w:pStyle w:val="ListParagraph"/>
        <w:numPr>
          <w:ilvl w:val="0"/>
          <w:numId w:val="4"/>
        </w:numPr>
      </w:pPr>
      <w:r>
        <w:t>The survey is anonymous. We use an external agency to manage the process for us.</w:t>
      </w:r>
      <w:r w:rsidR="00E411B2">
        <w:t xml:space="preserve"> The agency provides us with a final report and data tables for us to work with. The agency has confirmed that the level of responses received means that the results are statistically</w:t>
      </w:r>
      <w:r w:rsidR="00E96944">
        <w:t xml:space="preserve"> </w:t>
      </w:r>
      <w:r w:rsidR="00891E66">
        <w:t>valid</w:t>
      </w:r>
      <w:r w:rsidR="00E411B2">
        <w:t>.</w:t>
      </w:r>
    </w:p>
    <w:p w:rsidR="00E411B2" w:rsidRDefault="00E411B2" w:rsidP="005B27CD"/>
    <w:p w:rsidR="00E411B2" w:rsidRDefault="00E411B2" w:rsidP="00891E66">
      <w:pPr>
        <w:pStyle w:val="ListParagraph"/>
        <w:numPr>
          <w:ilvl w:val="0"/>
          <w:numId w:val="4"/>
        </w:numPr>
      </w:pPr>
      <w:r>
        <w:t xml:space="preserve">A sample of 1500 tenants and leaseholders is selected at random by the agency. The selected households receive a paper survey, along with an individual reference number (Found on you invitation letter) that allows access to a web version of the survey. </w:t>
      </w:r>
    </w:p>
    <w:p w:rsidR="00FC526E" w:rsidRDefault="00FC526E" w:rsidP="00FC526E">
      <w:pPr>
        <w:pStyle w:val="ListParagraph"/>
      </w:pPr>
    </w:p>
    <w:p w:rsidR="00FC526E" w:rsidRDefault="00FC526E" w:rsidP="00FC526E">
      <w:pPr>
        <w:pStyle w:val="ListParagraph"/>
        <w:numPr>
          <w:ilvl w:val="0"/>
          <w:numId w:val="4"/>
        </w:numPr>
      </w:pPr>
      <w:r>
        <w:t xml:space="preserve">The results for 2013 have not yet been validated so this report includes results from 2012 at section 4. </w:t>
      </w:r>
    </w:p>
    <w:p w:rsidR="003D2E12" w:rsidRDefault="003D2E12" w:rsidP="00E411B2"/>
    <w:p w:rsidR="005B27CD" w:rsidRPr="00FC526E" w:rsidRDefault="00E411B2" w:rsidP="005B27CD">
      <w:pPr>
        <w:pStyle w:val="ListParagraph"/>
        <w:numPr>
          <w:ilvl w:val="0"/>
          <w:numId w:val="3"/>
        </w:numPr>
      </w:pPr>
      <w:r w:rsidRPr="00FC526E">
        <w:rPr>
          <w:u w:val="single"/>
        </w:rPr>
        <w:t xml:space="preserve">STAR </w:t>
      </w:r>
      <w:r w:rsidR="00891E66" w:rsidRPr="00FC526E">
        <w:rPr>
          <w:u w:val="single"/>
        </w:rPr>
        <w:t xml:space="preserve">– response </w:t>
      </w:r>
      <w:r w:rsidRPr="00FC526E">
        <w:rPr>
          <w:u w:val="single"/>
        </w:rPr>
        <w:t>data table</w:t>
      </w:r>
      <w:r w:rsidR="00FC526E" w:rsidRPr="00FC526E">
        <w:rPr>
          <w:u w:val="single"/>
        </w:rPr>
        <w:t xml:space="preserve"> </w:t>
      </w:r>
    </w:p>
    <w:p w:rsidR="00FC526E" w:rsidRDefault="00FC526E" w:rsidP="00FC526E"/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6"/>
        <w:gridCol w:w="459"/>
        <w:gridCol w:w="661"/>
        <w:gridCol w:w="556"/>
        <w:gridCol w:w="459"/>
        <w:gridCol w:w="459"/>
        <w:gridCol w:w="491"/>
        <w:gridCol w:w="459"/>
        <w:gridCol w:w="459"/>
        <w:gridCol w:w="587"/>
        <w:gridCol w:w="567"/>
        <w:gridCol w:w="567"/>
        <w:gridCol w:w="567"/>
        <w:gridCol w:w="567"/>
        <w:gridCol w:w="567"/>
        <w:gridCol w:w="459"/>
        <w:gridCol w:w="533"/>
        <w:gridCol w:w="459"/>
        <w:gridCol w:w="533"/>
        <w:gridCol w:w="567"/>
        <w:gridCol w:w="567"/>
        <w:gridCol w:w="459"/>
        <w:gridCol w:w="534"/>
        <w:gridCol w:w="459"/>
        <w:gridCol w:w="675"/>
      </w:tblGrid>
      <w:tr w:rsidR="000C624B" w:rsidRPr="00E26DE8" w:rsidTr="005B27CD">
        <w:trPr>
          <w:cantSplit/>
          <w:trHeight w:val="1847"/>
        </w:trPr>
        <w:tc>
          <w:tcPr>
            <w:tcW w:w="1946" w:type="dxa"/>
            <w:shd w:val="clear" w:color="auto" w:fill="auto"/>
            <w:noWrap/>
            <w:textDirection w:val="btLr"/>
            <w:vAlign w:val="bottom"/>
            <w:hideMark/>
          </w:tcPr>
          <w:p w:rsidR="000C624B" w:rsidRPr="00E26DE8" w:rsidRDefault="000C624B" w:rsidP="00E26DE8">
            <w:pPr>
              <w:ind w:left="113" w:right="113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59" w:type="dxa"/>
            <w:shd w:val="clear" w:color="auto" w:fill="auto"/>
            <w:textDirection w:val="btLr"/>
            <w:vAlign w:val="bottom"/>
            <w:hideMark/>
          </w:tcPr>
          <w:p w:rsidR="000C624B" w:rsidRPr="00E26DE8" w:rsidRDefault="000C624B" w:rsidP="00E26DE8">
            <w:pPr>
              <w:ind w:left="113" w:right="113"/>
              <w:rPr>
                <w:rFonts w:eastAsia="Times New Roman"/>
                <w:sz w:val="20"/>
                <w:szCs w:val="20"/>
                <w:lang w:eastAsia="en-GB"/>
              </w:rPr>
            </w:pPr>
            <w:r w:rsidRPr="00E26DE8">
              <w:rPr>
                <w:rFonts w:eastAsia="Times New Roman"/>
                <w:sz w:val="20"/>
                <w:szCs w:val="20"/>
                <w:lang w:eastAsia="en-GB"/>
              </w:rPr>
              <w:t>Abingdon</w:t>
            </w:r>
          </w:p>
        </w:tc>
        <w:tc>
          <w:tcPr>
            <w:tcW w:w="661" w:type="dxa"/>
            <w:shd w:val="clear" w:color="auto" w:fill="auto"/>
            <w:textDirection w:val="btLr"/>
            <w:vAlign w:val="bottom"/>
            <w:hideMark/>
          </w:tcPr>
          <w:p w:rsidR="000C624B" w:rsidRPr="00E26DE8" w:rsidRDefault="000C624B" w:rsidP="00E26DE8">
            <w:pPr>
              <w:ind w:left="113" w:right="113"/>
              <w:rPr>
                <w:rFonts w:eastAsia="Times New Roman"/>
                <w:sz w:val="20"/>
                <w:szCs w:val="20"/>
                <w:lang w:eastAsia="en-GB"/>
              </w:rPr>
            </w:pPr>
            <w:r w:rsidRPr="00E26DE8">
              <w:rPr>
                <w:rFonts w:eastAsia="Times New Roman"/>
                <w:sz w:val="20"/>
                <w:szCs w:val="20"/>
                <w:lang w:eastAsia="en-GB"/>
              </w:rPr>
              <w:t>Barton and Sandhills</w:t>
            </w:r>
          </w:p>
        </w:tc>
        <w:tc>
          <w:tcPr>
            <w:tcW w:w="556" w:type="dxa"/>
            <w:shd w:val="clear" w:color="auto" w:fill="auto"/>
            <w:textDirection w:val="btLr"/>
            <w:vAlign w:val="bottom"/>
            <w:hideMark/>
          </w:tcPr>
          <w:p w:rsidR="000C624B" w:rsidRPr="00E26DE8" w:rsidRDefault="000C624B" w:rsidP="00E26DE8">
            <w:pPr>
              <w:ind w:left="113" w:right="113"/>
              <w:rPr>
                <w:rFonts w:eastAsia="Times New Roman"/>
                <w:sz w:val="20"/>
                <w:szCs w:val="20"/>
                <w:lang w:eastAsia="en-GB"/>
              </w:rPr>
            </w:pPr>
            <w:r w:rsidRPr="00E26DE8">
              <w:rPr>
                <w:rFonts w:eastAsia="Times New Roman"/>
                <w:sz w:val="20"/>
                <w:szCs w:val="20"/>
                <w:lang w:eastAsia="en-GB"/>
              </w:rPr>
              <w:t>Blackbird Leys</w:t>
            </w:r>
          </w:p>
        </w:tc>
        <w:tc>
          <w:tcPr>
            <w:tcW w:w="459" w:type="dxa"/>
            <w:shd w:val="clear" w:color="auto" w:fill="auto"/>
            <w:textDirection w:val="btLr"/>
            <w:vAlign w:val="bottom"/>
            <w:hideMark/>
          </w:tcPr>
          <w:p w:rsidR="000C624B" w:rsidRPr="00E26DE8" w:rsidRDefault="000C624B" w:rsidP="00E26DE8">
            <w:pPr>
              <w:ind w:left="113" w:right="113"/>
              <w:rPr>
                <w:rFonts w:eastAsia="Times New Roman"/>
                <w:sz w:val="20"/>
                <w:szCs w:val="20"/>
                <w:lang w:eastAsia="en-GB"/>
              </w:rPr>
            </w:pPr>
            <w:r w:rsidRPr="00E26DE8">
              <w:rPr>
                <w:rFonts w:eastAsia="Times New Roman"/>
                <w:sz w:val="20"/>
                <w:szCs w:val="20"/>
                <w:lang w:eastAsia="en-GB"/>
              </w:rPr>
              <w:t>Carfax</w:t>
            </w:r>
          </w:p>
        </w:tc>
        <w:tc>
          <w:tcPr>
            <w:tcW w:w="459" w:type="dxa"/>
            <w:shd w:val="clear" w:color="auto" w:fill="auto"/>
            <w:textDirection w:val="btLr"/>
            <w:vAlign w:val="bottom"/>
            <w:hideMark/>
          </w:tcPr>
          <w:p w:rsidR="000C624B" w:rsidRPr="00E26DE8" w:rsidRDefault="000C624B" w:rsidP="00E26DE8">
            <w:pPr>
              <w:ind w:left="113" w:right="113"/>
              <w:rPr>
                <w:rFonts w:eastAsia="Times New Roman"/>
                <w:sz w:val="20"/>
                <w:szCs w:val="20"/>
                <w:lang w:eastAsia="en-GB"/>
              </w:rPr>
            </w:pPr>
            <w:r w:rsidRPr="00E26DE8">
              <w:rPr>
                <w:rFonts w:eastAsia="Times New Roman"/>
                <w:sz w:val="20"/>
                <w:szCs w:val="20"/>
                <w:lang w:eastAsia="en-GB"/>
              </w:rPr>
              <w:t>Churchill</w:t>
            </w:r>
          </w:p>
        </w:tc>
        <w:tc>
          <w:tcPr>
            <w:tcW w:w="491" w:type="dxa"/>
            <w:shd w:val="clear" w:color="auto" w:fill="auto"/>
            <w:textDirection w:val="btLr"/>
            <w:vAlign w:val="bottom"/>
            <w:hideMark/>
          </w:tcPr>
          <w:p w:rsidR="000C624B" w:rsidRPr="00E26DE8" w:rsidRDefault="000C624B" w:rsidP="00E26DE8">
            <w:pPr>
              <w:ind w:left="113" w:right="113"/>
              <w:rPr>
                <w:rFonts w:eastAsia="Times New Roman"/>
                <w:sz w:val="20"/>
                <w:szCs w:val="20"/>
                <w:lang w:eastAsia="en-GB"/>
              </w:rPr>
            </w:pPr>
            <w:r w:rsidRPr="00E26DE8">
              <w:rPr>
                <w:rFonts w:eastAsia="Times New Roman"/>
                <w:sz w:val="20"/>
                <w:szCs w:val="20"/>
                <w:lang w:eastAsia="en-GB"/>
              </w:rPr>
              <w:t>Cowley</w:t>
            </w:r>
          </w:p>
        </w:tc>
        <w:tc>
          <w:tcPr>
            <w:tcW w:w="459" w:type="dxa"/>
            <w:shd w:val="clear" w:color="auto" w:fill="auto"/>
            <w:textDirection w:val="btLr"/>
            <w:vAlign w:val="bottom"/>
            <w:hideMark/>
          </w:tcPr>
          <w:p w:rsidR="000C624B" w:rsidRPr="00E26DE8" w:rsidRDefault="000C624B" w:rsidP="00E26DE8">
            <w:pPr>
              <w:ind w:left="113" w:right="113"/>
              <w:rPr>
                <w:rFonts w:eastAsia="Times New Roman"/>
                <w:sz w:val="20"/>
                <w:szCs w:val="20"/>
                <w:lang w:eastAsia="en-GB"/>
              </w:rPr>
            </w:pPr>
            <w:r w:rsidRPr="00E26DE8">
              <w:rPr>
                <w:rFonts w:eastAsia="Times New Roman"/>
                <w:sz w:val="20"/>
                <w:szCs w:val="20"/>
                <w:lang w:eastAsia="en-GB"/>
              </w:rPr>
              <w:t>Cowley Marsh</w:t>
            </w:r>
          </w:p>
        </w:tc>
        <w:tc>
          <w:tcPr>
            <w:tcW w:w="459" w:type="dxa"/>
            <w:shd w:val="clear" w:color="auto" w:fill="auto"/>
            <w:textDirection w:val="btLr"/>
            <w:vAlign w:val="bottom"/>
            <w:hideMark/>
          </w:tcPr>
          <w:p w:rsidR="000C624B" w:rsidRPr="00E26DE8" w:rsidRDefault="000C624B" w:rsidP="00E26DE8">
            <w:pPr>
              <w:ind w:left="113" w:right="113"/>
              <w:rPr>
                <w:rFonts w:eastAsia="Times New Roman"/>
                <w:sz w:val="20"/>
                <w:szCs w:val="20"/>
                <w:lang w:eastAsia="en-GB"/>
              </w:rPr>
            </w:pPr>
            <w:r w:rsidRPr="00E26DE8">
              <w:rPr>
                <w:rFonts w:eastAsia="Times New Roman"/>
                <w:sz w:val="20"/>
                <w:szCs w:val="20"/>
                <w:lang w:eastAsia="en-GB"/>
              </w:rPr>
              <w:t>Headington</w:t>
            </w:r>
          </w:p>
        </w:tc>
        <w:tc>
          <w:tcPr>
            <w:tcW w:w="587" w:type="dxa"/>
            <w:shd w:val="clear" w:color="auto" w:fill="auto"/>
            <w:textDirection w:val="btLr"/>
            <w:vAlign w:val="bottom"/>
            <w:hideMark/>
          </w:tcPr>
          <w:p w:rsidR="000C624B" w:rsidRPr="00E26DE8" w:rsidRDefault="000C624B" w:rsidP="00E26DE8">
            <w:pPr>
              <w:ind w:left="113" w:right="113"/>
              <w:rPr>
                <w:rFonts w:eastAsia="Times New Roman"/>
                <w:sz w:val="20"/>
                <w:szCs w:val="20"/>
                <w:lang w:eastAsia="en-GB"/>
              </w:rPr>
            </w:pPr>
            <w:r w:rsidRPr="00E26DE8">
              <w:rPr>
                <w:rFonts w:eastAsia="Times New Roman"/>
                <w:sz w:val="20"/>
                <w:szCs w:val="20"/>
                <w:lang w:eastAsia="en-GB"/>
              </w:rPr>
              <w:t>Headington Hill and Northway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:rsidR="000C624B" w:rsidRPr="00E26DE8" w:rsidRDefault="000C624B" w:rsidP="00E26DE8">
            <w:pPr>
              <w:ind w:left="113" w:right="113"/>
              <w:rPr>
                <w:rFonts w:eastAsia="Times New Roman"/>
                <w:sz w:val="20"/>
                <w:szCs w:val="20"/>
                <w:lang w:eastAsia="en-GB"/>
              </w:rPr>
            </w:pPr>
            <w:r w:rsidRPr="00E26DE8">
              <w:rPr>
                <w:rFonts w:eastAsia="Times New Roman"/>
                <w:sz w:val="20"/>
                <w:szCs w:val="20"/>
                <w:lang w:eastAsia="en-GB"/>
              </w:rPr>
              <w:t>Hinksey Park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:rsidR="000C624B" w:rsidRPr="00E26DE8" w:rsidRDefault="000C624B" w:rsidP="00E26DE8">
            <w:pPr>
              <w:ind w:left="113" w:right="113"/>
              <w:rPr>
                <w:rFonts w:eastAsia="Times New Roman"/>
                <w:sz w:val="20"/>
                <w:szCs w:val="20"/>
                <w:lang w:eastAsia="en-GB"/>
              </w:rPr>
            </w:pPr>
            <w:r w:rsidRPr="00E26DE8">
              <w:rPr>
                <w:rFonts w:eastAsia="Times New Roman"/>
                <w:sz w:val="20"/>
                <w:szCs w:val="20"/>
                <w:lang w:eastAsia="en-GB"/>
              </w:rPr>
              <w:t>Iffley Fields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:rsidR="000C624B" w:rsidRPr="00E26DE8" w:rsidRDefault="000C624B" w:rsidP="00E26DE8">
            <w:pPr>
              <w:ind w:left="113" w:right="113"/>
              <w:rPr>
                <w:rFonts w:eastAsia="Times New Roman"/>
                <w:sz w:val="20"/>
                <w:szCs w:val="20"/>
                <w:lang w:eastAsia="en-GB"/>
              </w:rPr>
            </w:pPr>
            <w:r w:rsidRPr="00E26DE8">
              <w:rPr>
                <w:rFonts w:eastAsia="Times New Roman"/>
                <w:sz w:val="20"/>
                <w:szCs w:val="20"/>
                <w:lang w:eastAsia="en-GB"/>
              </w:rPr>
              <w:t>Jericho and Osney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:rsidR="000C624B" w:rsidRPr="00E26DE8" w:rsidRDefault="000C624B" w:rsidP="00E26DE8">
            <w:pPr>
              <w:ind w:left="113" w:right="113"/>
              <w:rPr>
                <w:rFonts w:eastAsia="Times New Roman"/>
                <w:sz w:val="20"/>
                <w:szCs w:val="20"/>
                <w:lang w:eastAsia="en-GB"/>
              </w:rPr>
            </w:pPr>
            <w:r w:rsidRPr="00E26DE8">
              <w:rPr>
                <w:rFonts w:eastAsia="Times New Roman"/>
                <w:sz w:val="20"/>
                <w:szCs w:val="20"/>
                <w:lang w:eastAsia="en-GB"/>
              </w:rPr>
              <w:t>Kidlington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:rsidR="000C624B" w:rsidRPr="00E26DE8" w:rsidRDefault="000C624B" w:rsidP="00E26DE8">
            <w:pPr>
              <w:ind w:left="113" w:right="113"/>
              <w:rPr>
                <w:rFonts w:eastAsia="Times New Roman"/>
                <w:sz w:val="20"/>
                <w:szCs w:val="20"/>
                <w:lang w:eastAsia="en-GB"/>
              </w:rPr>
            </w:pPr>
            <w:r w:rsidRPr="00E26DE8">
              <w:rPr>
                <w:rFonts w:eastAsia="Times New Roman"/>
                <w:sz w:val="20"/>
                <w:szCs w:val="20"/>
                <w:lang w:eastAsia="en-GB"/>
              </w:rPr>
              <w:t>Littlemore</w:t>
            </w:r>
          </w:p>
        </w:tc>
        <w:tc>
          <w:tcPr>
            <w:tcW w:w="459" w:type="dxa"/>
            <w:shd w:val="clear" w:color="auto" w:fill="auto"/>
            <w:textDirection w:val="btLr"/>
            <w:vAlign w:val="bottom"/>
            <w:hideMark/>
          </w:tcPr>
          <w:p w:rsidR="000C624B" w:rsidRPr="00E26DE8" w:rsidRDefault="000C624B" w:rsidP="00E26DE8">
            <w:pPr>
              <w:ind w:left="113" w:right="113"/>
              <w:rPr>
                <w:rFonts w:eastAsia="Times New Roman"/>
                <w:sz w:val="20"/>
                <w:szCs w:val="20"/>
                <w:lang w:eastAsia="en-GB"/>
              </w:rPr>
            </w:pPr>
            <w:r w:rsidRPr="00E26DE8">
              <w:rPr>
                <w:rFonts w:eastAsia="Times New Roman"/>
                <w:sz w:val="20"/>
                <w:szCs w:val="20"/>
                <w:lang w:eastAsia="en-GB"/>
              </w:rPr>
              <w:t>Lye Valley</w:t>
            </w:r>
          </w:p>
        </w:tc>
        <w:tc>
          <w:tcPr>
            <w:tcW w:w="533" w:type="dxa"/>
            <w:shd w:val="clear" w:color="auto" w:fill="auto"/>
            <w:textDirection w:val="btLr"/>
            <w:vAlign w:val="bottom"/>
            <w:hideMark/>
          </w:tcPr>
          <w:p w:rsidR="000C624B" w:rsidRPr="00E26DE8" w:rsidRDefault="000C624B" w:rsidP="00E26DE8">
            <w:pPr>
              <w:ind w:left="113" w:right="113"/>
              <w:rPr>
                <w:rFonts w:eastAsia="Times New Roman"/>
                <w:sz w:val="20"/>
                <w:szCs w:val="20"/>
                <w:lang w:eastAsia="en-GB"/>
              </w:rPr>
            </w:pPr>
            <w:r w:rsidRPr="00E26DE8">
              <w:rPr>
                <w:rFonts w:eastAsia="Times New Roman"/>
                <w:sz w:val="20"/>
                <w:szCs w:val="20"/>
                <w:lang w:eastAsia="en-GB"/>
              </w:rPr>
              <w:t>Marston</w:t>
            </w:r>
          </w:p>
        </w:tc>
        <w:tc>
          <w:tcPr>
            <w:tcW w:w="459" w:type="dxa"/>
            <w:textDirection w:val="btLr"/>
          </w:tcPr>
          <w:p w:rsidR="000C624B" w:rsidRPr="00E26DE8" w:rsidRDefault="000C624B" w:rsidP="00E26DE8">
            <w:pPr>
              <w:ind w:left="113" w:right="113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North</w:t>
            </w:r>
          </w:p>
        </w:tc>
        <w:tc>
          <w:tcPr>
            <w:tcW w:w="533" w:type="dxa"/>
            <w:shd w:val="clear" w:color="auto" w:fill="auto"/>
            <w:textDirection w:val="btLr"/>
            <w:vAlign w:val="bottom"/>
            <w:hideMark/>
          </w:tcPr>
          <w:p w:rsidR="000C624B" w:rsidRPr="00E26DE8" w:rsidRDefault="000C624B" w:rsidP="00E26DE8">
            <w:pPr>
              <w:ind w:left="113" w:right="113"/>
              <w:rPr>
                <w:rFonts w:eastAsia="Times New Roman"/>
                <w:sz w:val="20"/>
                <w:szCs w:val="20"/>
                <w:lang w:eastAsia="en-GB"/>
              </w:rPr>
            </w:pPr>
            <w:r w:rsidRPr="00E26DE8">
              <w:rPr>
                <w:rFonts w:eastAsia="Times New Roman"/>
                <w:sz w:val="20"/>
                <w:szCs w:val="20"/>
                <w:lang w:eastAsia="en-GB"/>
              </w:rPr>
              <w:t>Northfield Brook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:rsidR="000C624B" w:rsidRPr="00E26DE8" w:rsidRDefault="000C624B" w:rsidP="00E26DE8">
            <w:pPr>
              <w:ind w:left="113" w:right="113"/>
              <w:rPr>
                <w:rFonts w:eastAsia="Times New Roman"/>
                <w:sz w:val="20"/>
                <w:szCs w:val="20"/>
                <w:lang w:eastAsia="en-GB"/>
              </w:rPr>
            </w:pPr>
            <w:r w:rsidRPr="00E26DE8">
              <w:rPr>
                <w:rFonts w:eastAsia="Times New Roman"/>
                <w:sz w:val="20"/>
                <w:szCs w:val="20"/>
                <w:lang w:eastAsia="en-GB"/>
              </w:rPr>
              <w:t>Quarry and Risinghurst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:rsidR="000C624B" w:rsidRPr="00E26DE8" w:rsidRDefault="000C624B" w:rsidP="00E26DE8">
            <w:pPr>
              <w:ind w:left="113" w:right="113"/>
              <w:rPr>
                <w:rFonts w:eastAsia="Times New Roman"/>
                <w:sz w:val="20"/>
                <w:szCs w:val="20"/>
                <w:lang w:eastAsia="en-GB"/>
              </w:rPr>
            </w:pPr>
            <w:r w:rsidRPr="00E26DE8">
              <w:rPr>
                <w:rFonts w:eastAsia="Times New Roman"/>
                <w:sz w:val="20"/>
                <w:szCs w:val="20"/>
                <w:lang w:eastAsia="en-GB"/>
              </w:rPr>
              <w:t>Rose Hill and Iffley</w:t>
            </w:r>
          </w:p>
        </w:tc>
        <w:tc>
          <w:tcPr>
            <w:tcW w:w="459" w:type="dxa"/>
            <w:shd w:val="clear" w:color="auto" w:fill="auto"/>
            <w:textDirection w:val="btLr"/>
            <w:vAlign w:val="bottom"/>
            <w:hideMark/>
          </w:tcPr>
          <w:p w:rsidR="000C624B" w:rsidRPr="00E26DE8" w:rsidRDefault="000C624B" w:rsidP="00E26DE8">
            <w:pPr>
              <w:ind w:left="113" w:right="113"/>
              <w:rPr>
                <w:rFonts w:eastAsia="Times New Roman"/>
                <w:sz w:val="20"/>
                <w:szCs w:val="20"/>
                <w:lang w:eastAsia="en-GB"/>
              </w:rPr>
            </w:pPr>
            <w:r w:rsidRPr="00E26DE8">
              <w:rPr>
                <w:rFonts w:eastAsia="Times New Roman"/>
                <w:sz w:val="20"/>
                <w:szCs w:val="20"/>
                <w:lang w:eastAsia="en-GB"/>
              </w:rPr>
              <w:t>St Clement's</w:t>
            </w:r>
          </w:p>
        </w:tc>
        <w:tc>
          <w:tcPr>
            <w:tcW w:w="534" w:type="dxa"/>
            <w:shd w:val="clear" w:color="auto" w:fill="auto"/>
            <w:textDirection w:val="btLr"/>
            <w:vAlign w:val="bottom"/>
            <w:hideMark/>
          </w:tcPr>
          <w:p w:rsidR="000C624B" w:rsidRPr="00E26DE8" w:rsidRDefault="000C624B" w:rsidP="00E26DE8">
            <w:pPr>
              <w:ind w:left="113" w:right="113"/>
              <w:rPr>
                <w:rFonts w:eastAsia="Times New Roman"/>
                <w:sz w:val="20"/>
                <w:szCs w:val="20"/>
                <w:lang w:eastAsia="en-GB"/>
              </w:rPr>
            </w:pPr>
            <w:r w:rsidRPr="00E26DE8">
              <w:rPr>
                <w:rFonts w:eastAsia="Times New Roman"/>
                <w:sz w:val="20"/>
                <w:szCs w:val="20"/>
                <w:lang w:eastAsia="en-GB"/>
              </w:rPr>
              <w:t>Summertown</w:t>
            </w:r>
          </w:p>
        </w:tc>
        <w:tc>
          <w:tcPr>
            <w:tcW w:w="459" w:type="dxa"/>
            <w:shd w:val="clear" w:color="auto" w:fill="auto"/>
            <w:textDirection w:val="btLr"/>
            <w:vAlign w:val="bottom"/>
            <w:hideMark/>
          </w:tcPr>
          <w:p w:rsidR="000C624B" w:rsidRPr="00E26DE8" w:rsidRDefault="000C624B" w:rsidP="00E26DE8">
            <w:pPr>
              <w:ind w:left="113" w:right="113"/>
              <w:rPr>
                <w:rFonts w:eastAsia="Times New Roman"/>
                <w:sz w:val="20"/>
                <w:szCs w:val="20"/>
                <w:lang w:eastAsia="en-GB"/>
              </w:rPr>
            </w:pPr>
            <w:r w:rsidRPr="00E26DE8">
              <w:rPr>
                <w:rFonts w:eastAsia="Times New Roman"/>
                <w:sz w:val="20"/>
                <w:szCs w:val="20"/>
                <w:lang w:eastAsia="en-GB"/>
              </w:rPr>
              <w:t>Wolvercote</w:t>
            </w:r>
          </w:p>
        </w:tc>
        <w:tc>
          <w:tcPr>
            <w:tcW w:w="675" w:type="dxa"/>
            <w:textDirection w:val="btLr"/>
          </w:tcPr>
          <w:p w:rsidR="000C624B" w:rsidRPr="000A477F" w:rsidRDefault="000C624B" w:rsidP="00E26DE8">
            <w:pPr>
              <w:ind w:left="113" w:right="113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r w:rsidRPr="000A477F">
              <w:rPr>
                <w:rFonts w:eastAsia="Times New Roman"/>
                <w:b/>
                <w:sz w:val="20"/>
                <w:szCs w:val="20"/>
                <w:lang w:eastAsia="en-GB"/>
              </w:rPr>
              <w:t>Total</w:t>
            </w:r>
          </w:p>
        </w:tc>
      </w:tr>
      <w:tr w:rsidR="000C624B" w:rsidRPr="00E26DE8" w:rsidTr="00FC526E">
        <w:trPr>
          <w:trHeight w:val="706"/>
        </w:trPr>
        <w:tc>
          <w:tcPr>
            <w:tcW w:w="1946" w:type="dxa"/>
            <w:shd w:val="clear" w:color="auto" w:fill="auto"/>
            <w:vAlign w:val="center"/>
            <w:hideMark/>
          </w:tcPr>
          <w:p w:rsidR="000C624B" w:rsidRPr="00E26DE8" w:rsidRDefault="000C624B" w:rsidP="00FC526E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E26DE8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Total respondents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C624B" w:rsidRPr="00E26DE8" w:rsidRDefault="000C624B" w:rsidP="00FC526E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E26DE8">
              <w:rPr>
                <w:rFonts w:eastAsia="Times New Roman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0C624B" w:rsidRPr="00E26DE8" w:rsidRDefault="000C624B" w:rsidP="00FC526E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E26DE8">
              <w:rPr>
                <w:rFonts w:eastAsia="Times New Roman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0C624B" w:rsidRPr="00E26DE8" w:rsidRDefault="000C624B" w:rsidP="00FC526E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E26DE8">
              <w:rPr>
                <w:rFonts w:eastAsia="Times New Roman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C624B" w:rsidRPr="00E26DE8" w:rsidRDefault="000C624B" w:rsidP="00FC526E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E26DE8">
              <w:rPr>
                <w:rFonts w:eastAsia="Times New Roman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C624B" w:rsidRPr="00E26DE8" w:rsidRDefault="000C624B" w:rsidP="00FC526E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E26DE8">
              <w:rPr>
                <w:rFonts w:eastAsia="Times New Roman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0C624B" w:rsidRPr="00E26DE8" w:rsidRDefault="000C624B" w:rsidP="00FC526E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E26DE8">
              <w:rPr>
                <w:rFonts w:eastAsia="Times New Roman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C624B" w:rsidRPr="00E26DE8" w:rsidRDefault="000C624B" w:rsidP="00FC526E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E26DE8">
              <w:rPr>
                <w:rFonts w:eastAsia="Times New Roman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C624B" w:rsidRPr="00E26DE8" w:rsidRDefault="000C624B" w:rsidP="00FC526E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E26DE8">
              <w:rPr>
                <w:rFonts w:eastAsia="Times New Roman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0C624B" w:rsidRPr="00E26DE8" w:rsidRDefault="000C624B" w:rsidP="00FC526E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E26DE8">
              <w:rPr>
                <w:rFonts w:eastAsia="Times New Roman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C624B" w:rsidRPr="00E26DE8" w:rsidRDefault="000C624B" w:rsidP="00FC526E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E26DE8">
              <w:rPr>
                <w:rFonts w:eastAsia="Times New Roman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C624B" w:rsidRPr="00E26DE8" w:rsidRDefault="000C624B" w:rsidP="00FC526E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E26DE8">
              <w:rPr>
                <w:rFonts w:eastAsia="Times New Roman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C624B" w:rsidRPr="00E26DE8" w:rsidRDefault="000C624B" w:rsidP="00FC526E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E26DE8">
              <w:rPr>
                <w:rFonts w:eastAsia="Times New Roman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C624B" w:rsidRPr="00E26DE8" w:rsidRDefault="000C624B" w:rsidP="00FC526E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E26DE8">
              <w:rPr>
                <w:rFonts w:eastAsia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C624B" w:rsidRPr="00E26DE8" w:rsidRDefault="000C624B" w:rsidP="00FC526E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E26DE8">
              <w:rPr>
                <w:rFonts w:eastAsia="Times New Roman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C624B" w:rsidRPr="00E26DE8" w:rsidRDefault="000C624B" w:rsidP="00FC526E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E26DE8">
              <w:rPr>
                <w:rFonts w:eastAsia="Times New Roman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C624B" w:rsidRPr="00E26DE8" w:rsidRDefault="000C624B" w:rsidP="00FC526E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E26DE8">
              <w:rPr>
                <w:rFonts w:eastAsia="Times New Roman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459" w:type="dxa"/>
            <w:vAlign w:val="center"/>
          </w:tcPr>
          <w:p w:rsidR="000C624B" w:rsidRPr="00E26DE8" w:rsidRDefault="000C624B" w:rsidP="00FC526E">
            <w:pPr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C624B" w:rsidRPr="00E26DE8" w:rsidRDefault="000C624B" w:rsidP="00FC526E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E26DE8">
              <w:rPr>
                <w:rFonts w:eastAsia="Times New Roman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C624B" w:rsidRPr="00E26DE8" w:rsidRDefault="000C624B" w:rsidP="00FC526E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E26DE8">
              <w:rPr>
                <w:rFonts w:eastAsia="Times New Roman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C624B" w:rsidRPr="00E26DE8" w:rsidRDefault="000C624B" w:rsidP="00FC526E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E26DE8">
              <w:rPr>
                <w:rFonts w:eastAsia="Times New Roman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C624B" w:rsidRPr="00E26DE8" w:rsidRDefault="000C624B" w:rsidP="00FC526E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E26DE8">
              <w:rPr>
                <w:rFonts w:eastAsia="Times New Roman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C624B" w:rsidRPr="00E26DE8" w:rsidRDefault="000C624B" w:rsidP="00FC526E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E26DE8">
              <w:rPr>
                <w:rFonts w:eastAsia="Times New Roman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C624B" w:rsidRPr="00E26DE8" w:rsidRDefault="000C624B" w:rsidP="00FC526E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E26DE8">
              <w:rPr>
                <w:rFonts w:eastAsia="Times New Roman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675" w:type="dxa"/>
            <w:vAlign w:val="center"/>
          </w:tcPr>
          <w:p w:rsidR="000C624B" w:rsidRPr="000A477F" w:rsidRDefault="000C624B" w:rsidP="00FC526E">
            <w:pPr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r w:rsidRPr="000A477F">
              <w:rPr>
                <w:rFonts w:eastAsia="Times New Roman"/>
                <w:b/>
                <w:sz w:val="20"/>
                <w:szCs w:val="20"/>
                <w:lang w:eastAsia="en-GB"/>
              </w:rPr>
              <w:t>726</w:t>
            </w:r>
          </w:p>
        </w:tc>
      </w:tr>
    </w:tbl>
    <w:p w:rsidR="00E26DE8" w:rsidRDefault="00E26DE8" w:rsidP="00E26DE8"/>
    <w:p w:rsidR="00E411B2" w:rsidRDefault="00E411B2" w:rsidP="00E26DE8"/>
    <w:p w:rsidR="00E411B2" w:rsidRDefault="00E411B2" w:rsidP="00E26DE8"/>
    <w:p w:rsidR="00E411B2" w:rsidRDefault="00E411B2" w:rsidP="00E26DE8"/>
    <w:p w:rsidR="00E411B2" w:rsidRDefault="00E411B2" w:rsidP="00E26DE8"/>
    <w:p w:rsidR="00A37F6D" w:rsidRDefault="00E411B2" w:rsidP="00E411B2">
      <w:pPr>
        <w:pStyle w:val="ListParagraph"/>
        <w:numPr>
          <w:ilvl w:val="0"/>
          <w:numId w:val="3"/>
        </w:numPr>
        <w:jc w:val="left"/>
        <w:rPr>
          <w:u w:val="single"/>
        </w:rPr>
      </w:pPr>
      <w:r w:rsidRPr="00E411B2">
        <w:rPr>
          <w:u w:val="single"/>
        </w:rPr>
        <w:t>Key Performance Indicators and related STAR tables</w:t>
      </w:r>
      <w:r w:rsidR="00E96944">
        <w:rPr>
          <w:u w:val="single"/>
        </w:rPr>
        <w:t xml:space="preserve"> 2013 for Oxford City Council</w:t>
      </w:r>
      <w:r w:rsidR="00A37F6D">
        <w:rPr>
          <w:u w:val="single"/>
        </w:rPr>
        <w:br/>
      </w:r>
    </w:p>
    <w:p w:rsidR="00A37F6D" w:rsidRDefault="00A37F6D" w:rsidP="00A37F6D">
      <w:pPr>
        <w:pStyle w:val="ListParagraph"/>
        <w:numPr>
          <w:ilvl w:val="0"/>
          <w:numId w:val="1"/>
        </w:numPr>
      </w:pPr>
      <w:r>
        <w:t>HC001 –Tenants satisfied with Landlord Services – Overall result 88%.</w:t>
      </w:r>
    </w:p>
    <w:p w:rsidR="00A37F6D" w:rsidRDefault="00A37F6D" w:rsidP="00A37F6D">
      <w:pPr>
        <w:pStyle w:val="ListParagraph"/>
        <w:numPr>
          <w:ilvl w:val="0"/>
          <w:numId w:val="1"/>
        </w:numPr>
      </w:pPr>
      <w:r>
        <w:t>HC017 –Tenant satisfaction with their estates – Overall result 83%.</w:t>
      </w:r>
    </w:p>
    <w:p w:rsidR="00A37F6D" w:rsidRDefault="00A37F6D" w:rsidP="00A37F6D">
      <w:pPr>
        <w:pStyle w:val="ListParagraph"/>
        <w:numPr>
          <w:ilvl w:val="0"/>
          <w:numId w:val="1"/>
        </w:numPr>
      </w:pPr>
      <w:r>
        <w:t>HC022 –Tenants satisfied that Oxford City Council listens to their views and acts on them – Overall result 64%.</w:t>
      </w:r>
    </w:p>
    <w:p w:rsidR="00A37F6D" w:rsidRDefault="00A37F6D" w:rsidP="00A37F6D">
      <w:pPr>
        <w:pStyle w:val="ListParagraph"/>
        <w:numPr>
          <w:ilvl w:val="0"/>
          <w:numId w:val="1"/>
        </w:numPr>
        <w:jc w:val="left"/>
      </w:pPr>
      <w:r>
        <w:t xml:space="preserve">HC024 –Tenants satisfied with Estate Services – Overall result 78%.  </w:t>
      </w:r>
    </w:p>
    <w:p w:rsidR="00A37F6D" w:rsidRDefault="00A37F6D" w:rsidP="00A37F6D">
      <w:pPr>
        <w:pStyle w:val="ListParagraph"/>
        <w:ind w:left="360"/>
        <w:jc w:val="left"/>
      </w:pPr>
    </w:p>
    <w:p w:rsidR="00E26DE8" w:rsidRDefault="00E26DE8" w:rsidP="00E26DE8">
      <w:pPr>
        <w:pStyle w:val="ListParagraph"/>
        <w:ind w:left="791"/>
      </w:pPr>
    </w:p>
    <w:p w:rsidR="003D4824" w:rsidRDefault="007B33FC">
      <w:r>
        <w:rPr>
          <w:noProof/>
          <w:lang w:eastAsia="en-GB"/>
        </w:rPr>
        <w:drawing>
          <wp:inline distT="0" distB="0" distL="0" distR="0" wp14:anchorId="6CA9F02E" wp14:editId="4E6FF9CA">
            <wp:extent cx="9296400" cy="2904067"/>
            <wp:effectExtent l="0" t="0" r="19050" b="1079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A477F" w:rsidRDefault="000A477F"/>
    <w:p w:rsidR="00A37F6D" w:rsidRDefault="00A37F6D">
      <w:r>
        <w:rPr>
          <w:noProof/>
          <w:lang w:eastAsia="en-GB"/>
        </w:rPr>
        <w:lastRenderedPageBreak/>
        <w:drawing>
          <wp:inline distT="0" distB="0" distL="0" distR="0" wp14:anchorId="6560D554" wp14:editId="4EE4DD91">
            <wp:extent cx="9296400" cy="3225800"/>
            <wp:effectExtent l="0" t="0" r="19050" b="1270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26DE8" w:rsidRDefault="00366EE7">
      <w:r>
        <w:rPr>
          <w:noProof/>
          <w:lang w:eastAsia="en-GB"/>
        </w:rPr>
        <w:drawing>
          <wp:inline distT="0" distB="0" distL="0" distR="0" wp14:anchorId="38CE9592" wp14:editId="684CDE0D">
            <wp:extent cx="9296400" cy="2887133"/>
            <wp:effectExtent l="0" t="0" r="19050" b="2794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37F6D" w:rsidRPr="00A37F6D" w:rsidRDefault="00A37F6D">
      <w:pPr>
        <w:rPr>
          <w:sz w:val="16"/>
          <w:szCs w:val="16"/>
        </w:rPr>
      </w:pPr>
    </w:p>
    <w:p w:rsidR="000C624B" w:rsidRDefault="005B27CD">
      <w:r>
        <w:rPr>
          <w:noProof/>
          <w:lang w:eastAsia="en-GB"/>
        </w:rPr>
        <w:lastRenderedPageBreak/>
        <w:drawing>
          <wp:inline distT="0" distB="0" distL="0" distR="0" wp14:anchorId="67EF74A8" wp14:editId="685B4C5C">
            <wp:extent cx="9296400" cy="3344333"/>
            <wp:effectExtent l="0" t="0" r="19050" b="2794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37F6D" w:rsidRDefault="00A37F6D"/>
    <w:p w:rsidR="00A37F6D" w:rsidRDefault="00A37F6D" w:rsidP="00A37F6D"/>
    <w:p w:rsidR="00E96944" w:rsidRPr="00E96944" w:rsidRDefault="00E96944" w:rsidP="00E96944">
      <w:pPr>
        <w:pStyle w:val="ListParagraph"/>
        <w:numPr>
          <w:ilvl w:val="0"/>
          <w:numId w:val="3"/>
        </w:numPr>
        <w:jc w:val="left"/>
        <w:rPr>
          <w:rFonts w:eastAsia="Times New Roman"/>
          <w:b/>
          <w:bCs/>
        </w:rPr>
      </w:pPr>
      <w:r w:rsidRPr="00A37F6D">
        <w:t>We have extracted the following benchmark data from the HouseMark reports for 2012.</w:t>
      </w:r>
      <w:r w:rsidRPr="00E96944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The data for 2013</w:t>
      </w:r>
      <w:r w:rsidR="00FC526E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has not yet been validated.</w:t>
      </w:r>
      <w:r w:rsidRPr="00E96944">
        <w:rPr>
          <w:rFonts w:eastAsia="Times New Roman"/>
          <w:b/>
          <w:bCs/>
        </w:rPr>
        <w:br/>
      </w:r>
    </w:p>
    <w:tbl>
      <w:tblPr>
        <w:tblW w:w="7893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0"/>
        <w:gridCol w:w="872"/>
        <w:gridCol w:w="983"/>
        <w:gridCol w:w="992"/>
        <w:gridCol w:w="992"/>
        <w:gridCol w:w="1134"/>
      </w:tblGrid>
      <w:tr w:rsidR="00E96944" w:rsidRPr="00A37F6D" w:rsidTr="00E96944">
        <w:trPr>
          <w:trHeight w:val="312"/>
        </w:trPr>
        <w:tc>
          <w:tcPr>
            <w:tcW w:w="7893" w:type="dxa"/>
            <w:gridSpan w:val="6"/>
            <w:shd w:val="clear" w:color="auto" w:fill="auto"/>
            <w:noWrap/>
            <w:vAlign w:val="bottom"/>
            <w:hideMark/>
          </w:tcPr>
          <w:p w:rsidR="00E96944" w:rsidRPr="00A37F6D" w:rsidRDefault="00E96944" w:rsidP="002373EF">
            <w:pPr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 xml:space="preserve">HC001 - </w:t>
            </w:r>
            <w:r w:rsidRPr="00A37F6D">
              <w:rPr>
                <w:rFonts w:eastAsia="Times New Roman"/>
                <w:b/>
                <w:bCs/>
                <w:lang w:eastAsia="en-GB"/>
              </w:rPr>
              <w:t>Overall satisfaction</w:t>
            </w:r>
          </w:p>
        </w:tc>
      </w:tr>
      <w:tr w:rsidR="00E96944" w:rsidRPr="00A37F6D" w:rsidTr="00E96944">
        <w:trPr>
          <w:trHeight w:val="264"/>
        </w:trPr>
        <w:tc>
          <w:tcPr>
            <w:tcW w:w="7893" w:type="dxa"/>
            <w:gridSpan w:val="6"/>
            <w:shd w:val="clear" w:color="auto" w:fill="auto"/>
            <w:noWrap/>
            <w:vAlign w:val="bottom"/>
            <w:hideMark/>
          </w:tcPr>
          <w:p w:rsidR="00E96944" w:rsidRPr="00A37F6D" w:rsidRDefault="00E96944" w:rsidP="002373EF">
            <w:pPr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r w:rsidRPr="00A37F6D">
              <w:rPr>
                <w:rFonts w:eastAsia="Times New Roman"/>
                <w:sz w:val="20"/>
                <w:szCs w:val="20"/>
                <w:lang w:eastAsia="en-GB"/>
              </w:rPr>
              <w:t>Taking everything into account, how satisfied or dissatisfied are you with the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 service provided by your Landlord?</w:t>
            </w:r>
          </w:p>
        </w:tc>
      </w:tr>
      <w:tr w:rsidR="00E96944" w:rsidRPr="00A37F6D" w:rsidTr="00E96944">
        <w:trPr>
          <w:trHeight w:val="51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96944" w:rsidRPr="00A37F6D" w:rsidRDefault="00E96944" w:rsidP="002373EF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A37F6D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Pr="00A37F6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Combined positive score </w:t>
            </w:r>
            <w:r w:rsidRPr="00A37F6D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872" w:type="dxa"/>
            <w:shd w:val="clear" w:color="auto" w:fill="auto"/>
            <w:vAlign w:val="bottom"/>
            <w:hideMark/>
          </w:tcPr>
          <w:p w:rsidR="00E96944" w:rsidRPr="00A37F6D" w:rsidRDefault="00E96944" w:rsidP="002373EF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A37F6D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Pr="00A37F6D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Upper quartile % </w:t>
            </w:r>
            <w:r w:rsidRPr="00A37F6D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E96944" w:rsidRPr="00A37F6D" w:rsidRDefault="00E96944" w:rsidP="002373EF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A37F6D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Pr="00A37F6D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Median % </w:t>
            </w:r>
            <w:r w:rsidRPr="00A37F6D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96944" w:rsidRPr="00A37F6D" w:rsidRDefault="00E96944" w:rsidP="002373EF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A37F6D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Pr="00A37F6D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Lower quartile % </w:t>
            </w:r>
            <w:r w:rsidRPr="00A37F6D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6944" w:rsidRPr="00A37F6D" w:rsidRDefault="00E96944" w:rsidP="00FC526E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A37F6D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Oxford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6944" w:rsidRPr="00A37F6D" w:rsidRDefault="00E96944" w:rsidP="002373EF">
            <w:pPr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</w:p>
        </w:tc>
      </w:tr>
      <w:tr w:rsidR="00E96944" w:rsidRPr="00A37F6D" w:rsidTr="00E96944">
        <w:trPr>
          <w:trHeight w:val="264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96944" w:rsidRPr="00A37F6D" w:rsidRDefault="00E96944" w:rsidP="002373EF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A37F6D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Pr="00A37F6D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General needs </w:t>
            </w:r>
            <w:r w:rsidRPr="00A37F6D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E96944" w:rsidRPr="00A37F6D" w:rsidRDefault="00E96944" w:rsidP="002373EF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A37F6D">
              <w:rPr>
                <w:rFonts w:eastAsia="Times New Roman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96944" w:rsidRPr="00A37F6D" w:rsidRDefault="00E96944" w:rsidP="002373EF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A37F6D">
              <w:rPr>
                <w:rFonts w:eastAsia="Times New Roman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6944" w:rsidRPr="00A37F6D" w:rsidRDefault="00E96944" w:rsidP="002373EF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A37F6D">
              <w:rPr>
                <w:rFonts w:eastAsia="Times New Roman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6944" w:rsidRPr="00A37F6D" w:rsidRDefault="00E96944" w:rsidP="002373EF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A37F6D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6944" w:rsidRPr="00A37F6D" w:rsidRDefault="00E96944" w:rsidP="002373EF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A37F6D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  <w:t>median</w:t>
            </w:r>
          </w:p>
        </w:tc>
      </w:tr>
      <w:tr w:rsidR="00E96944" w:rsidRPr="00A37F6D" w:rsidTr="00E96944">
        <w:trPr>
          <w:trHeight w:val="264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96944" w:rsidRPr="00A37F6D" w:rsidRDefault="00E96944" w:rsidP="002373EF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A37F6D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Pr="00A37F6D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Housing for older people </w:t>
            </w:r>
            <w:r w:rsidRPr="00A37F6D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E96944" w:rsidRPr="00A37F6D" w:rsidRDefault="00E96944" w:rsidP="002373EF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A37F6D">
              <w:rPr>
                <w:rFonts w:eastAsia="Times New Roman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96944" w:rsidRPr="00A37F6D" w:rsidRDefault="00E96944" w:rsidP="002373EF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A37F6D">
              <w:rPr>
                <w:rFonts w:eastAsia="Times New Roman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6944" w:rsidRPr="00A37F6D" w:rsidRDefault="00E96944" w:rsidP="002373EF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A37F6D">
              <w:rPr>
                <w:rFonts w:eastAsia="Times New Roman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6944" w:rsidRPr="00A37F6D" w:rsidRDefault="00E96944" w:rsidP="002373EF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A37F6D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6944" w:rsidRPr="00A37F6D" w:rsidRDefault="00E96944" w:rsidP="002373EF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A37F6D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  <w:t>median</w:t>
            </w:r>
          </w:p>
        </w:tc>
      </w:tr>
    </w:tbl>
    <w:p w:rsidR="00E96944" w:rsidRDefault="00E96944" w:rsidP="00E96944">
      <w:pPr>
        <w:pStyle w:val="ListParagraph"/>
        <w:ind w:left="360"/>
        <w:jc w:val="left"/>
        <w:rPr>
          <w:u w:val="single"/>
        </w:rPr>
      </w:pPr>
    </w:p>
    <w:p w:rsidR="00E96944" w:rsidRDefault="00E96944" w:rsidP="00E96944">
      <w:pPr>
        <w:pStyle w:val="ListParagraph"/>
        <w:ind w:left="360"/>
        <w:jc w:val="left"/>
        <w:rPr>
          <w:u w:val="single"/>
        </w:rPr>
      </w:pPr>
    </w:p>
    <w:p w:rsidR="00E96944" w:rsidRDefault="00E96944" w:rsidP="00E96944">
      <w:pPr>
        <w:pStyle w:val="ListParagraph"/>
        <w:ind w:left="360"/>
        <w:jc w:val="left"/>
        <w:rPr>
          <w:u w:val="single"/>
        </w:rPr>
      </w:pPr>
    </w:p>
    <w:p w:rsidR="00E96944" w:rsidRDefault="00E96944" w:rsidP="00E96944">
      <w:pPr>
        <w:pStyle w:val="ListParagraph"/>
        <w:ind w:left="360"/>
        <w:jc w:val="left"/>
        <w:rPr>
          <w:u w:val="single"/>
        </w:rPr>
      </w:pPr>
    </w:p>
    <w:p w:rsidR="00E96944" w:rsidRDefault="00E96944" w:rsidP="00E96944">
      <w:pPr>
        <w:pStyle w:val="ListParagraph"/>
        <w:ind w:left="360"/>
        <w:jc w:val="left"/>
        <w:rPr>
          <w:u w:val="single"/>
        </w:rPr>
      </w:pPr>
    </w:p>
    <w:tbl>
      <w:tblPr>
        <w:tblW w:w="817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0"/>
        <w:gridCol w:w="1040"/>
        <w:gridCol w:w="1040"/>
        <w:gridCol w:w="1040"/>
        <w:gridCol w:w="1140"/>
        <w:gridCol w:w="997"/>
      </w:tblGrid>
      <w:tr w:rsidR="00E96944" w:rsidRPr="00A37F6D" w:rsidTr="00FC526E">
        <w:trPr>
          <w:trHeight w:val="312"/>
        </w:trPr>
        <w:tc>
          <w:tcPr>
            <w:tcW w:w="8177" w:type="dxa"/>
            <w:gridSpan w:val="6"/>
            <w:shd w:val="clear" w:color="auto" w:fill="auto"/>
            <w:noWrap/>
            <w:vAlign w:val="bottom"/>
            <w:hideMark/>
          </w:tcPr>
          <w:p w:rsidR="00E96944" w:rsidRPr="00A37F6D" w:rsidRDefault="00E96944" w:rsidP="002373EF">
            <w:pPr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lastRenderedPageBreak/>
              <w:t xml:space="preserve">HC017 - </w:t>
            </w:r>
            <w:r w:rsidRPr="00A37F6D">
              <w:rPr>
                <w:rFonts w:eastAsia="Times New Roman"/>
                <w:b/>
                <w:bCs/>
                <w:lang w:eastAsia="en-GB"/>
              </w:rPr>
              <w:t>Neighbourhood</w:t>
            </w:r>
          </w:p>
        </w:tc>
      </w:tr>
      <w:tr w:rsidR="00E96944" w:rsidRPr="00A37F6D" w:rsidTr="00FC526E">
        <w:trPr>
          <w:trHeight w:val="264"/>
        </w:trPr>
        <w:tc>
          <w:tcPr>
            <w:tcW w:w="8177" w:type="dxa"/>
            <w:gridSpan w:val="6"/>
            <w:shd w:val="clear" w:color="auto" w:fill="auto"/>
            <w:noWrap/>
            <w:vAlign w:val="bottom"/>
            <w:hideMark/>
          </w:tcPr>
          <w:p w:rsidR="00E96944" w:rsidRPr="00A37F6D" w:rsidRDefault="00E96944" w:rsidP="002373EF">
            <w:pPr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r w:rsidRPr="00A37F6D">
              <w:rPr>
                <w:rFonts w:eastAsia="Times New Roman"/>
                <w:sz w:val="20"/>
                <w:szCs w:val="20"/>
                <w:lang w:eastAsia="en-GB"/>
              </w:rPr>
              <w:t>How satisfied or dissatisfied are you with your neighbourhood as a place to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 live?</w:t>
            </w:r>
          </w:p>
        </w:tc>
      </w:tr>
      <w:tr w:rsidR="00E96944" w:rsidRPr="00A37F6D" w:rsidTr="00FC526E">
        <w:trPr>
          <w:trHeight w:val="528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96944" w:rsidRPr="00A37F6D" w:rsidRDefault="00E96944" w:rsidP="002373EF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A37F6D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Pr="00A37F6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Combined positive score </w:t>
            </w:r>
            <w:r w:rsidRPr="00A37F6D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96944" w:rsidRPr="00A37F6D" w:rsidRDefault="00E96944" w:rsidP="002373EF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A37F6D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Pr="00A37F6D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Upper quartile % </w:t>
            </w:r>
            <w:r w:rsidRPr="00A37F6D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96944" w:rsidRPr="00A37F6D" w:rsidRDefault="00E96944" w:rsidP="002373EF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A37F6D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Pr="00A37F6D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Median % </w:t>
            </w:r>
            <w:r w:rsidRPr="00A37F6D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96944" w:rsidRPr="00A37F6D" w:rsidRDefault="00E96944" w:rsidP="002373EF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A37F6D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Pr="00A37F6D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Lower quartile % </w:t>
            </w:r>
            <w:r w:rsidRPr="00A37F6D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E96944" w:rsidRPr="00A37F6D" w:rsidRDefault="00E96944" w:rsidP="00FC526E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A37F6D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Oxford 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E96944" w:rsidRPr="00A37F6D" w:rsidRDefault="00E96944" w:rsidP="002373EF">
            <w:pPr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</w:p>
        </w:tc>
      </w:tr>
      <w:tr w:rsidR="00E96944" w:rsidRPr="00A37F6D" w:rsidTr="00FC526E">
        <w:trPr>
          <w:trHeight w:val="264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96944" w:rsidRPr="00A37F6D" w:rsidRDefault="00E96944" w:rsidP="002373EF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A37F6D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Pr="00A37F6D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General needs </w:t>
            </w:r>
            <w:r w:rsidRPr="00A37F6D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E96944" w:rsidRPr="00A37F6D" w:rsidRDefault="00E96944" w:rsidP="002373EF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A37F6D">
              <w:rPr>
                <w:rFonts w:eastAsia="Times New Roman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E96944" w:rsidRPr="00A37F6D" w:rsidRDefault="00E96944" w:rsidP="002373EF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A37F6D">
              <w:rPr>
                <w:rFonts w:eastAsia="Times New Roman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E96944" w:rsidRPr="00A37F6D" w:rsidRDefault="00E96944" w:rsidP="002373EF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A37F6D">
              <w:rPr>
                <w:rFonts w:eastAsia="Times New Roman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E96944" w:rsidRPr="00A37F6D" w:rsidRDefault="00E96944" w:rsidP="002373EF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A37F6D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E96944" w:rsidRPr="00A37F6D" w:rsidRDefault="00E96944" w:rsidP="002373EF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A37F6D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  <w:t>lower</w:t>
            </w:r>
          </w:p>
        </w:tc>
      </w:tr>
      <w:tr w:rsidR="00E96944" w:rsidRPr="00A37F6D" w:rsidTr="00FC526E">
        <w:trPr>
          <w:trHeight w:val="264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96944" w:rsidRPr="00A37F6D" w:rsidRDefault="00E96944" w:rsidP="002373EF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A37F6D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Pr="00A37F6D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Housing for older people </w:t>
            </w:r>
            <w:r w:rsidRPr="00A37F6D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E96944" w:rsidRPr="00A37F6D" w:rsidRDefault="00E96944" w:rsidP="002373EF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A37F6D">
              <w:rPr>
                <w:rFonts w:eastAsia="Times New Roman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E96944" w:rsidRPr="00A37F6D" w:rsidRDefault="00E96944" w:rsidP="002373EF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A37F6D">
              <w:rPr>
                <w:rFonts w:eastAsia="Times New Roman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E96944" w:rsidRPr="00A37F6D" w:rsidRDefault="00E96944" w:rsidP="002373EF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A37F6D">
              <w:rPr>
                <w:rFonts w:eastAsia="Times New Roman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E96944" w:rsidRPr="00A37F6D" w:rsidRDefault="00E96944" w:rsidP="002373EF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A37F6D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E96944" w:rsidRPr="00A37F6D" w:rsidRDefault="00E96944" w:rsidP="002373EF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A37F6D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  <w:t>lower</w:t>
            </w:r>
          </w:p>
        </w:tc>
      </w:tr>
    </w:tbl>
    <w:p w:rsidR="00E96944" w:rsidRDefault="00E96944" w:rsidP="00E96944">
      <w:pPr>
        <w:pStyle w:val="ListParagraph"/>
        <w:ind w:left="360"/>
        <w:jc w:val="left"/>
        <w:rPr>
          <w:u w:val="single"/>
        </w:rPr>
      </w:pPr>
    </w:p>
    <w:tbl>
      <w:tblPr>
        <w:tblW w:w="816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3"/>
        <w:gridCol w:w="1027"/>
        <w:gridCol w:w="1040"/>
        <w:gridCol w:w="1040"/>
        <w:gridCol w:w="1140"/>
        <w:gridCol w:w="980"/>
      </w:tblGrid>
      <w:tr w:rsidR="00E96944" w:rsidRPr="00A37F6D" w:rsidTr="00B83CF7">
        <w:trPr>
          <w:trHeight w:val="312"/>
        </w:trPr>
        <w:tc>
          <w:tcPr>
            <w:tcW w:w="8160" w:type="dxa"/>
            <w:gridSpan w:val="6"/>
            <w:shd w:val="clear" w:color="auto" w:fill="auto"/>
            <w:noWrap/>
            <w:vAlign w:val="bottom"/>
            <w:hideMark/>
          </w:tcPr>
          <w:p w:rsidR="00E96944" w:rsidRPr="00A37F6D" w:rsidRDefault="00E96944" w:rsidP="002373EF">
            <w:pPr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 xml:space="preserve">HC022 - </w:t>
            </w:r>
            <w:r w:rsidRPr="00A37F6D">
              <w:rPr>
                <w:rFonts w:eastAsia="Times New Roman"/>
                <w:b/>
                <w:bCs/>
                <w:lang w:eastAsia="en-GB"/>
              </w:rPr>
              <w:t>Responding to residents’ views</w:t>
            </w:r>
          </w:p>
        </w:tc>
      </w:tr>
      <w:tr w:rsidR="00E96944" w:rsidRPr="00A37F6D" w:rsidTr="00E96944">
        <w:trPr>
          <w:trHeight w:val="264"/>
        </w:trPr>
        <w:tc>
          <w:tcPr>
            <w:tcW w:w="8160" w:type="dxa"/>
            <w:gridSpan w:val="6"/>
            <w:shd w:val="clear" w:color="auto" w:fill="auto"/>
            <w:noWrap/>
            <w:vAlign w:val="bottom"/>
            <w:hideMark/>
          </w:tcPr>
          <w:p w:rsidR="00E96944" w:rsidRPr="00A37F6D" w:rsidRDefault="00E96944" w:rsidP="002373EF">
            <w:pPr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r w:rsidRPr="00A37F6D">
              <w:rPr>
                <w:rFonts w:eastAsia="Times New Roman"/>
                <w:sz w:val="20"/>
                <w:szCs w:val="20"/>
                <w:lang w:eastAsia="en-GB"/>
              </w:rPr>
              <w:t>How satisfie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d or dissatisfied are you that </w:t>
            </w:r>
            <w:r w:rsidRPr="00A37F6D">
              <w:rPr>
                <w:rFonts w:eastAsia="Times New Roman"/>
                <w:sz w:val="20"/>
                <w:szCs w:val="20"/>
                <w:lang w:eastAsia="en-GB"/>
              </w:rPr>
              <w:t>your social housing provider listens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Pr="00A37F6D">
              <w:rPr>
                <w:rFonts w:eastAsia="Times New Roman"/>
                <w:sz w:val="20"/>
                <w:szCs w:val="20"/>
                <w:lang w:eastAsia="en-GB"/>
              </w:rPr>
              <w:t>to your views and acts upon them?</w:t>
            </w:r>
          </w:p>
        </w:tc>
      </w:tr>
      <w:tr w:rsidR="00E96944" w:rsidRPr="00A37F6D" w:rsidTr="00E96944">
        <w:trPr>
          <w:trHeight w:val="528"/>
        </w:trPr>
        <w:tc>
          <w:tcPr>
            <w:tcW w:w="2933" w:type="dxa"/>
            <w:shd w:val="clear" w:color="auto" w:fill="auto"/>
            <w:noWrap/>
            <w:vAlign w:val="bottom"/>
            <w:hideMark/>
          </w:tcPr>
          <w:p w:rsidR="00E96944" w:rsidRPr="00A37F6D" w:rsidRDefault="00E96944" w:rsidP="002373EF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A37F6D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Pr="00A37F6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Combined positive score </w:t>
            </w:r>
            <w:r w:rsidRPr="00A37F6D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027" w:type="dxa"/>
            <w:shd w:val="clear" w:color="auto" w:fill="auto"/>
            <w:vAlign w:val="bottom"/>
            <w:hideMark/>
          </w:tcPr>
          <w:p w:rsidR="00E96944" w:rsidRPr="00A37F6D" w:rsidRDefault="00E96944" w:rsidP="002373EF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A37F6D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Pr="00A37F6D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Upper quartile % </w:t>
            </w:r>
            <w:r w:rsidRPr="00A37F6D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96944" w:rsidRPr="00A37F6D" w:rsidRDefault="00E96944" w:rsidP="002373EF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A37F6D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Pr="00A37F6D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Median % </w:t>
            </w:r>
            <w:r w:rsidRPr="00A37F6D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96944" w:rsidRPr="00A37F6D" w:rsidRDefault="00E96944" w:rsidP="002373EF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A37F6D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Pr="00A37F6D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Lower quartile % </w:t>
            </w:r>
            <w:r w:rsidRPr="00A37F6D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E96944" w:rsidRPr="00A37F6D" w:rsidRDefault="00E96944" w:rsidP="00FC526E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A37F6D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Oxford 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96944" w:rsidRPr="00A37F6D" w:rsidRDefault="00E96944" w:rsidP="002373EF">
            <w:pPr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</w:p>
        </w:tc>
      </w:tr>
      <w:tr w:rsidR="00E96944" w:rsidRPr="00A37F6D" w:rsidTr="00E96944">
        <w:trPr>
          <w:trHeight w:val="264"/>
        </w:trPr>
        <w:tc>
          <w:tcPr>
            <w:tcW w:w="2933" w:type="dxa"/>
            <w:shd w:val="clear" w:color="auto" w:fill="auto"/>
            <w:noWrap/>
            <w:vAlign w:val="bottom"/>
            <w:hideMark/>
          </w:tcPr>
          <w:p w:rsidR="00E96944" w:rsidRPr="00A37F6D" w:rsidRDefault="00E96944" w:rsidP="002373EF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A37F6D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Pr="00A37F6D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General needs </w:t>
            </w:r>
            <w:r w:rsidRPr="00A37F6D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E96944" w:rsidRPr="00A37F6D" w:rsidRDefault="00E96944" w:rsidP="002373EF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A37F6D">
              <w:rPr>
                <w:rFonts w:eastAsia="Times New Roman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E96944" w:rsidRPr="00A37F6D" w:rsidRDefault="00E96944" w:rsidP="002373EF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A37F6D">
              <w:rPr>
                <w:rFonts w:eastAsia="Times New Roman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E96944" w:rsidRPr="00A37F6D" w:rsidRDefault="00E96944" w:rsidP="002373EF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A37F6D">
              <w:rPr>
                <w:rFonts w:eastAsia="Times New Roman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E96944" w:rsidRPr="00A37F6D" w:rsidRDefault="00E96944" w:rsidP="002373EF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A37F6D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96944" w:rsidRPr="00A37F6D" w:rsidRDefault="00E96944" w:rsidP="002373EF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A37F6D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  <w:t>lower</w:t>
            </w:r>
          </w:p>
        </w:tc>
      </w:tr>
      <w:tr w:rsidR="00E96944" w:rsidRPr="00A37F6D" w:rsidTr="00E96944">
        <w:trPr>
          <w:trHeight w:val="264"/>
        </w:trPr>
        <w:tc>
          <w:tcPr>
            <w:tcW w:w="2933" w:type="dxa"/>
            <w:shd w:val="clear" w:color="auto" w:fill="auto"/>
            <w:noWrap/>
            <w:vAlign w:val="bottom"/>
            <w:hideMark/>
          </w:tcPr>
          <w:p w:rsidR="00E96944" w:rsidRPr="00A37F6D" w:rsidRDefault="00E96944" w:rsidP="002373EF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A37F6D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Pr="00A37F6D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Housing for older people </w:t>
            </w:r>
            <w:r w:rsidRPr="00A37F6D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E96944" w:rsidRPr="00A37F6D" w:rsidRDefault="00E96944" w:rsidP="002373EF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A37F6D">
              <w:rPr>
                <w:rFonts w:eastAsia="Times New Roman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E96944" w:rsidRPr="00A37F6D" w:rsidRDefault="00E96944" w:rsidP="002373EF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A37F6D">
              <w:rPr>
                <w:rFonts w:eastAsia="Times New Roman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E96944" w:rsidRPr="00A37F6D" w:rsidRDefault="00E96944" w:rsidP="002373EF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A37F6D">
              <w:rPr>
                <w:rFonts w:eastAsia="Times New Roman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E96944" w:rsidRPr="00A37F6D" w:rsidRDefault="00E96944" w:rsidP="002373EF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A37F6D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96944" w:rsidRPr="00A37F6D" w:rsidRDefault="00E96944" w:rsidP="002373EF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A37F6D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  <w:t>lower</w:t>
            </w:r>
          </w:p>
        </w:tc>
      </w:tr>
    </w:tbl>
    <w:p w:rsidR="00E96944" w:rsidRDefault="00E96944" w:rsidP="00E96944">
      <w:pPr>
        <w:pStyle w:val="ListParagraph"/>
        <w:ind w:left="360"/>
        <w:jc w:val="left"/>
      </w:pPr>
      <w:r>
        <w:rPr>
          <w:u w:val="single"/>
        </w:rPr>
        <w:br/>
      </w:r>
    </w:p>
    <w:p w:rsidR="00A37F6D" w:rsidRDefault="00E96944" w:rsidP="00E96944">
      <w:pPr>
        <w:pStyle w:val="ListParagraph"/>
        <w:ind w:left="360"/>
      </w:pPr>
      <w:r>
        <w:t>NB – the results for HC024 are not recorded in HouseMark.</w:t>
      </w:r>
    </w:p>
    <w:sectPr w:rsidR="00A37F6D" w:rsidSect="00A37F6D">
      <w:footerReference w:type="default" r:id="rId12"/>
      <w:pgSz w:w="16838" w:h="11906" w:orient="landscape"/>
      <w:pgMar w:top="993" w:right="1440" w:bottom="142" w:left="1440" w:header="284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CDB" w:rsidRDefault="00260CDB" w:rsidP="0063671A">
      <w:r>
        <w:separator/>
      </w:r>
    </w:p>
  </w:endnote>
  <w:endnote w:type="continuationSeparator" w:id="0">
    <w:p w:rsidR="00260CDB" w:rsidRDefault="00260CDB" w:rsidP="00636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15528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671A" w:rsidRDefault="006367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00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671A" w:rsidRDefault="006367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CDB" w:rsidRDefault="00260CDB" w:rsidP="0063671A">
      <w:r>
        <w:separator/>
      </w:r>
    </w:p>
  </w:footnote>
  <w:footnote w:type="continuationSeparator" w:id="0">
    <w:p w:rsidR="00260CDB" w:rsidRDefault="00260CDB" w:rsidP="00636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F1126"/>
    <w:multiLevelType w:val="hybridMultilevel"/>
    <w:tmpl w:val="45FAD556"/>
    <w:lvl w:ilvl="0" w:tplc="0809001B">
      <w:start w:val="1"/>
      <w:numFmt w:val="low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644362"/>
    <w:multiLevelType w:val="hybridMultilevel"/>
    <w:tmpl w:val="B246BB04"/>
    <w:lvl w:ilvl="0" w:tplc="08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">
    <w:nsid w:val="65F359BD"/>
    <w:multiLevelType w:val="hybridMultilevel"/>
    <w:tmpl w:val="1B304E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822F8E"/>
    <w:multiLevelType w:val="hybridMultilevel"/>
    <w:tmpl w:val="44525AB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E8"/>
    <w:rsid w:val="000A477F"/>
    <w:rsid w:val="000C624B"/>
    <w:rsid w:val="00260CDB"/>
    <w:rsid w:val="00366EE7"/>
    <w:rsid w:val="003D2E12"/>
    <w:rsid w:val="003D4824"/>
    <w:rsid w:val="005B27CD"/>
    <w:rsid w:val="0063671A"/>
    <w:rsid w:val="007B33FC"/>
    <w:rsid w:val="00891E66"/>
    <w:rsid w:val="008E37D6"/>
    <w:rsid w:val="0099404F"/>
    <w:rsid w:val="00A37F6D"/>
    <w:rsid w:val="00B745A9"/>
    <w:rsid w:val="00CB009B"/>
    <w:rsid w:val="00E26DE8"/>
    <w:rsid w:val="00E411B2"/>
    <w:rsid w:val="00E96944"/>
    <w:rsid w:val="00F93D08"/>
    <w:rsid w:val="00FA1B37"/>
    <w:rsid w:val="00FC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DE8"/>
    <w:pPr>
      <w:spacing w:after="0" w:line="240" w:lineRule="auto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DE8"/>
    <w:pPr>
      <w:ind w:left="720"/>
      <w:contextualSpacing/>
      <w:jc w:val="both"/>
    </w:pPr>
    <w:rPr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D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D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67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71A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6367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71A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DE8"/>
    <w:pPr>
      <w:spacing w:after="0" w:line="240" w:lineRule="auto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DE8"/>
    <w:pPr>
      <w:ind w:left="720"/>
      <w:contextualSpacing/>
      <w:jc w:val="both"/>
    </w:pPr>
    <w:rPr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D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D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67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71A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6367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71A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7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9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lison.dalton\AppData\Local\Microsoft\Windows\Temporary%20Internet%20Files\Content.Outlook\D4L1A2HT\13082%20Oxford%20City%20STAR%202013%20Data%20Tables%20by%20are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lison.dalton\AppData\Local\Microsoft\Windows\Temporary%20Internet%20Files\Content.Outlook\D4L1A2HT\13082%20Oxford%20City%20STAR%202013%20Data%20Tables%20by%20are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lison.dalton\AppData\Local\Microsoft\Windows\Temporary%20Internet%20Files\Content.Outlook\D4L1A2HT\13082%20Oxford%20City%20STAR%202013%20Data%20Tables%20by%20area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lison.dalton\AppData\Local\Microsoft\Windows\Temporary%20Internet%20Files\Content.Outlook\D4L1A2HT\13082%20Oxford%20City%20STAR%202013%20Data%20Tables%20by%20are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GB" sz="1400"/>
              <a:t>HC001 - Satisfaction with Landlord Service overall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Sheet2!$B$16:$Z$16</c:f>
              <c:strCache>
                <c:ptCount val="25"/>
                <c:pt idx="0">
                  <c:v>Abingdon</c:v>
                </c:pt>
                <c:pt idx="1">
                  <c:v>Barton and Sandhills</c:v>
                </c:pt>
                <c:pt idx="2">
                  <c:v>Blackbird Leys</c:v>
                </c:pt>
                <c:pt idx="3">
                  <c:v>Carfax</c:v>
                </c:pt>
                <c:pt idx="4">
                  <c:v>Churchill</c:v>
                </c:pt>
                <c:pt idx="5">
                  <c:v>Cowley</c:v>
                </c:pt>
                <c:pt idx="6">
                  <c:v>Cowley Marsh</c:v>
                </c:pt>
                <c:pt idx="7">
                  <c:v>Headington</c:v>
                </c:pt>
                <c:pt idx="8">
                  <c:v>Headington Hill and Northway</c:v>
                </c:pt>
                <c:pt idx="9">
                  <c:v>Hinksey Park</c:v>
                </c:pt>
                <c:pt idx="10">
                  <c:v>Holywell</c:v>
                </c:pt>
                <c:pt idx="11">
                  <c:v>Iffley Fields</c:v>
                </c:pt>
                <c:pt idx="12">
                  <c:v>Jericho and Osney</c:v>
                </c:pt>
                <c:pt idx="13">
                  <c:v>Kidlington South</c:v>
                </c:pt>
                <c:pt idx="14">
                  <c:v>Littlemore</c:v>
                </c:pt>
                <c:pt idx="15">
                  <c:v>Lye Valley</c:v>
                </c:pt>
                <c:pt idx="16">
                  <c:v>Marston</c:v>
                </c:pt>
                <c:pt idx="17">
                  <c:v>North</c:v>
                </c:pt>
                <c:pt idx="18">
                  <c:v>Northfield Brook</c:v>
                </c:pt>
                <c:pt idx="19">
                  <c:v>Quarry and Risinghurst</c:v>
                </c:pt>
                <c:pt idx="20">
                  <c:v>Rose Hill and Iffley</c:v>
                </c:pt>
                <c:pt idx="21">
                  <c:v>St Clement's</c:v>
                </c:pt>
                <c:pt idx="22">
                  <c:v>St Mary's</c:v>
                </c:pt>
                <c:pt idx="23">
                  <c:v>Summertown</c:v>
                </c:pt>
                <c:pt idx="24">
                  <c:v>Wolvercote</c:v>
                </c:pt>
              </c:strCache>
            </c:strRef>
          </c:cat>
          <c:val>
            <c:numRef>
              <c:f>Sheet2!$B$17:$Z$17</c:f>
              <c:numCache>
                <c:formatCode>0.00%</c:formatCode>
                <c:ptCount val="25"/>
                <c:pt idx="0">
                  <c:v>0.66666599999999998</c:v>
                </c:pt>
                <c:pt idx="1">
                  <c:v>0.86153799999999991</c:v>
                </c:pt>
                <c:pt idx="2">
                  <c:v>0.95061699999999993</c:v>
                </c:pt>
                <c:pt idx="3">
                  <c:v>0.8</c:v>
                </c:pt>
                <c:pt idx="4">
                  <c:v>0.88</c:v>
                </c:pt>
                <c:pt idx="5">
                  <c:v>0.8</c:v>
                </c:pt>
                <c:pt idx="6">
                  <c:v>0.88235299999999994</c:v>
                </c:pt>
                <c:pt idx="7">
                  <c:v>0.91666599999999998</c:v>
                </c:pt>
                <c:pt idx="8">
                  <c:v>0.67857199999999995</c:v>
                </c:pt>
                <c:pt idx="9">
                  <c:v>0.88235299999999994</c:v>
                </c:pt>
                <c:pt idx="10">
                  <c:v>0.66666599999999998</c:v>
                </c:pt>
                <c:pt idx="11">
                  <c:v>0.94285700000000006</c:v>
                </c:pt>
                <c:pt idx="12">
                  <c:v>0.764706</c:v>
                </c:pt>
                <c:pt idx="13">
                  <c:v>1</c:v>
                </c:pt>
                <c:pt idx="14">
                  <c:v>0.90909099999999998</c:v>
                </c:pt>
                <c:pt idx="15">
                  <c:v>0.88235299999999994</c:v>
                </c:pt>
                <c:pt idx="16">
                  <c:v>0.92307700000000004</c:v>
                </c:pt>
                <c:pt idx="17">
                  <c:v>1</c:v>
                </c:pt>
                <c:pt idx="18">
                  <c:v>0.94594599999999995</c:v>
                </c:pt>
                <c:pt idx="19">
                  <c:v>0.90625</c:v>
                </c:pt>
                <c:pt idx="20">
                  <c:v>0.86153900000000005</c:v>
                </c:pt>
                <c:pt idx="21">
                  <c:v>1</c:v>
                </c:pt>
                <c:pt idx="22">
                  <c:v>0.66666700000000001</c:v>
                </c:pt>
                <c:pt idx="23">
                  <c:v>0.86206899999999997</c:v>
                </c:pt>
                <c:pt idx="24">
                  <c:v>0.95833299999999999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1472128"/>
        <c:axId val="9441664"/>
      </c:barChart>
      <c:catAx>
        <c:axId val="81472128"/>
        <c:scaling>
          <c:orientation val="minMax"/>
        </c:scaling>
        <c:delete val="0"/>
        <c:axPos val="b"/>
        <c:majorTickMark val="none"/>
        <c:minorTickMark val="none"/>
        <c:tickLblPos val="nextTo"/>
        <c:crossAx val="9441664"/>
        <c:crosses val="autoZero"/>
        <c:auto val="1"/>
        <c:lblAlgn val="ctr"/>
        <c:lblOffset val="100"/>
        <c:noMultiLvlLbl val="0"/>
      </c:catAx>
      <c:valAx>
        <c:axId val="9441664"/>
        <c:scaling>
          <c:orientation val="minMax"/>
        </c:scaling>
        <c:delete val="0"/>
        <c:axPos val="l"/>
        <c:majorGridlines/>
        <c:numFmt formatCode="0.00%" sourceLinked="1"/>
        <c:majorTickMark val="none"/>
        <c:minorTickMark val="none"/>
        <c:tickLblPos val="nextTo"/>
        <c:crossAx val="81472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 sz="1400"/>
              <a:t>HC017 - Satisfied</a:t>
            </a:r>
            <a:r>
              <a:rPr lang="en-GB" sz="1400" baseline="0"/>
              <a:t> with Estate as a place to live</a:t>
            </a:r>
            <a:endParaRPr lang="en-GB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Sheet3!$C$17:$AA$17</c:f>
              <c:strCache>
                <c:ptCount val="25"/>
                <c:pt idx="0">
                  <c:v>Abingdon</c:v>
                </c:pt>
                <c:pt idx="1">
                  <c:v>Barton and Sandhills</c:v>
                </c:pt>
                <c:pt idx="2">
                  <c:v>Blackbird Leys</c:v>
                </c:pt>
                <c:pt idx="3">
                  <c:v>Carfax</c:v>
                </c:pt>
                <c:pt idx="4">
                  <c:v>Churchill</c:v>
                </c:pt>
                <c:pt idx="5">
                  <c:v>Cowley</c:v>
                </c:pt>
                <c:pt idx="6">
                  <c:v>Cowley Marsh</c:v>
                </c:pt>
                <c:pt idx="7">
                  <c:v>Headington</c:v>
                </c:pt>
                <c:pt idx="8">
                  <c:v>Headington Hill and Northway</c:v>
                </c:pt>
                <c:pt idx="9">
                  <c:v>Hinksey Park</c:v>
                </c:pt>
                <c:pt idx="10">
                  <c:v>Holywell</c:v>
                </c:pt>
                <c:pt idx="11">
                  <c:v>Iffley Fields</c:v>
                </c:pt>
                <c:pt idx="12">
                  <c:v>Jericho and Osney</c:v>
                </c:pt>
                <c:pt idx="13">
                  <c:v>Kidlington South</c:v>
                </c:pt>
                <c:pt idx="14">
                  <c:v>Littlemore</c:v>
                </c:pt>
                <c:pt idx="15">
                  <c:v>Lye Valley</c:v>
                </c:pt>
                <c:pt idx="16">
                  <c:v>Marston</c:v>
                </c:pt>
                <c:pt idx="17">
                  <c:v>North</c:v>
                </c:pt>
                <c:pt idx="18">
                  <c:v>Northfield Brook</c:v>
                </c:pt>
                <c:pt idx="19">
                  <c:v>Quarry and Risinghurst</c:v>
                </c:pt>
                <c:pt idx="20">
                  <c:v>Rose Hill and Iffley</c:v>
                </c:pt>
                <c:pt idx="21">
                  <c:v>St Clement's</c:v>
                </c:pt>
                <c:pt idx="22">
                  <c:v>St Mary's</c:v>
                </c:pt>
                <c:pt idx="23">
                  <c:v>Summertown</c:v>
                </c:pt>
                <c:pt idx="24">
                  <c:v>Wolvercote</c:v>
                </c:pt>
              </c:strCache>
            </c:strRef>
          </c:cat>
          <c:val>
            <c:numRef>
              <c:f>Sheet3!$C$18:$AA$18</c:f>
              <c:numCache>
                <c:formatCode>0.00%</c:formatCode>
                <c:ptCount val="25"/>
                <c:pt idx="0">
                  <c:v>0.66666700000000001</c:v>
                </c:pt>
                <c:pt idx="1">
                  <c:v>0.72881299999999993</c:v>
                </c:pt>
                <c:pt idx="2">
                  <c:v>0.92307700000000004</c:v>
                </c:pt>
                <c:pt idx="3">
                  <c:v>0.69230700000000001</c:v>
                </c:pt>
                <c:pt idx="4">
                  <c:v>0.791045</c:v>
                </c:pt>
                <c:pt idx="5">
                  <c:v>0.77777699999999994</c:v>
                </c:pt>
                <c:pt idx="6">
                  <c:v>0.64285700000000001</c:v>
                </c:pt>
                <c:pt idx="7">
                  <c:v>1</c:v>
                </c:pt>
                <c:pt idx="8">
                  <c:v>0.8</c:v>
                </c:pt>
                <c:pt idx="9">
                  <c:v>0.83870999999999996</c:v>
                </c:pt>
                <c:pt idx="10">
                  <c:v>0.66666599999999998</c:v>
                </c:pt>
                <c:pt idx="11">
                  <c:v>0.85185100000000002</c:v>
                </c:pt>
                <c:pt idx="12">
                  <c:v>0.86666700000000008</c:v>
                </c:pt>
                <c:pt idx="13">
                  <c:v>1</c:v>
                </c:pt>
                <c:pt idx="14">
                  <c:v>0.89285700000000001</c:v>
                </c:pt>
                <c:pt idx="15">
                  <c:v>0.69230700000000001</c:v>
                </c:pt>
                <c:pt idx="16">
                  <c:v>0.86956499999999992</c:v>
                </c:pt>
                <c:pt idx="17">
                  <c:v>1</c:v>
                </c:pt>
                <c:pt idx="18">
                  <c:v>0.96969700000000003</c:v>
                </c:pt>
                <c:pt idx="19">
                  <c:v>0.77777699999999994</c:v>
                </c:pt>
                <c:pt idx="20">
                  <c:v>0.68518499999999993</c:v>
                </c:pt>
                <c:pt idx="21">
                  <c:v>0.92307699999999993</c:v>
                </c:pt>
                <c:pt idx="22">
                  <c:v>1</c:v>
                </c:pt>
                <c:pt idx="23">
                  <c:v>0.85185099999999991</c:v>
                </c:pt>
                <c:pt idx="24">
                  <c:v>0.95652099999999995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79008"/>
        <c:axId val="4380544"/>
      </c:barChart>
      <c:catAx>
        <c:axId val="4379008"/>
        <c:scaling>
          <c:orientation val="minMax"/>
        </c:scaling>
        <c:delete val="0"/>
        <c:axPos val="b"/>
        <c:majorTickMark val="none"/>
        <c:minorTickMark val="none"/>
        <c:tickLblPos val="nextTo"/>
        <c:crossAx val="4380544"/>
        <c:crosses val="autoZero"/>
        <c:auto val="1"/>
        <c:lblAlgn val="ctr"/>
        <c:lblOffset val="100"/>
        <c:noMultiLvlLbl val="0"/>
      </c:catAx>
      <c:valAx>
        <c:axId val="4380544"/>
        <c:scaling>
          <c:orientation val="minMax"/>
        </c:scaling>
        <c:delete val="0"/>
        <c:axPos val="l"/>
        <c:majorGridlines/>
        <c:numFmt formatCode="0.00%" sourceLinked="1"/>
        <c:majorTickMark val="none"/>
        <c:minorTickMark val="none"/>
        <c:tickLblPos val="nextTo"/>
        <c:crossAx val="43790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GB" sz="1400"/>
              <a:t>HC022 - Satisfaction with listening to views and acting on them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8.3829812115069777E-2"/>
          <c:y val="0.12794124418658195"/>
          <c:w val="0.89801837270341212"/>
          <c:h val="0.58859012592466187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Sheet1!$C$15:$AA$15</c:f>
              <c:strCache>
                <c:ptCount val="25"/>
                <c:pt idx="0">
                  <c:v>Abingdon</c:v>
                </c:pt>
                <c:pt idx="1">
                  <c:v>Barton and Sandhills</c:v>
                </c:pt>
                <c:pt idx="2">
                  <c:v>Blackbird Leys</c:v>
                </c:pt>
                <c:pt idx="3">
                  <c:v>Carfax</c:v>
                </c:pt>
                <c:pt idx="4">
                  <c:v>Churchill</c:v>
                </c:pt>
                <c:pt idx="5">
                  <c:v>Cowley</c:v>
                </c:pt>
                <c:pt idx="6">
                  <c:v>Cowley Marsh</c:v>
                </c:pt>
                <c:pt idx="7">
                  <c:v>Headington</c:v>
                </c:pt>
                <c:pt idx="8">
                  <c:v>Headington Hill and Northway</c:v>
                </c:pt>
                <c:pt idx="9">
                  <c:v>Hinksey Park</c:v>
                </c:pt>
                <c:pt idx="10">
                  <c:v>Holywell</c:v>
                </c:pt>
                <c:pt idx="11">
                  <c:v>Iffley Fields</c:v>
                </c:pt>
                <c:pt idx="12">
                  <c:v>Jericho and Osney</c:v>
                </c:pt>
                <c:pt idx="13">
                  <c:v>Kidlington South</c:v>
                </c:pt>
                <c:pt idx="14">
                  <c:v>Littlemore</c:v>
                </c:pt>
                <c:pt idx="15">
                  <c:v>Lye Valley</c:v>
                </c:pt>
                <c:pt idx="16">
                  <c:v>Marston</c:v>
                </c:pt>
                <c:pt idx="17">
                  <c:v>North</c:v>
                </c:pt>
                <c:pt idx="18">
                  <c:v>Northfield Brook</c:v>
                </c:pt>
                <c:pt idx="19">
                  <c:v>Quarry and Risinghurst</c:v>
                </c:pt>
                <c:pt idx="20">
                  <c:v>Rose Hill and Iffley</c:v>
                </c:pt>
                <c:pt idx="21">
                  <c:v>St Clement's</c:v>
                </c:pt>
                <c:pt idx="22">
                  <c:v>St Mary's</c:v>
                </c:pt>
                <c:pt idx="23">
                  <c:v>Summertown</c:v>
                </c:pt>
                <c:pt idx="24">
                  <c:v>Wolvercote</c:v>
                </c:pt>
              </c:strCache>
            </c:strRef>
          </c:cat>
          <c:val>
            <c:numRef>
              <c:f>Sheet1!$C$16:$AA$16</c:f>
              <c:numCache>
                <c:formatCode>0.00%</c:formatCode>
                <c:ptCount val="25"/>
                <c:pt idx="0">
                  <c:v>0.375</c:v>
                </c:pt>
                <c:pt idx="1">
                  <c:v>0.68181800000000004</c:v>
                </c:pt>
                <c:pt idx="2">
                  <c:v>0.75609700000000002</c:v>
                </c:pt>
                <c:pt idx="3">
                  <c:v>0.53333300000000006</c:v>
                </c:pt>
                <c:pt idx="4">
                  <c:v>0.54666700000000001</c:v>
                </c:pt>
                <c:pt idx="5">
                  <c:v>0.7</c:v>
                </c:pt>
                <c:pt idx="6">
                  <c:v>0.6875</c:v>
                </c:pt>
                <c:pt idx="7">
                  <c:v>0.66666599999999998</c:v>
                </c:pt>
                <c:pt idx="8">
                  <c:v>0.51724199999999998</c:v>
                </c:pt>
                <c:pt idx="9">
                  <c:v>0.55882300000000007</c:v>
                </c:pt>
                <c:pt idx="10">
                  <c:v>0.66666700000000001</c:v>
                </c:pt>
                <c:pt idx="11">
                  <c:v>0.67647100000000004</c:v>
                </c:pt>
                <c:pt idx="12">
                  <c:v>0.52941199999999999</c:v>
                </c:pt>
                <c:pt idx="13">
                  <c:v>0.77777699999999994</c:v>
                </c:pt>
                <c:pt idx="14">
                  <c:v>0.641791</c:v>
                </c:pt>
                <c:pt idx="15">
                  <c:v>0.58823599999999998</c:v>
                </c:pt>
                <c:pt idx="16">
                  <c:v>0.70370299999999997</c:v>
                </c:pt>
                <c:pt idx="17">
                  <c:v>1</c:v>
                </c:pt>
                <c:pt idx="18">
                  <c:v>0.83783699999999994</c:v>
                </c:pt>
                <c:pt idx="19">
                  <c:v>0.7</c:v>
                </c:pt>
                <c:pt idx="20">
                  <c:v>0.57142800000000005</c:v>
                </c:pt>
                <c:pt idx="21">
                  <c:v>0.61538400000000004</c:v>
                </c:pt>
                <c:pt idx="22">
                  <c:v>0.66666700000000001</c:v>
                </c:pt>
                <c:pt idx="23">
                  <c:v>0.57142899999999996</c:v>
                </c:pt>
                <c:pt idx="24">
                  <c:v>0.625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496064"/>
        <c:axId val="9497600"/>
      </c:barChart>
      <c:catAx>
        <c:axId val="9496064"/>
        <c:scaling>
          <c:orientation val="minMax"/>
        </c:scaling>
        <c:delete val="0"/>
        <c:axPos val="b"/>
        <c:majorTickMark val="none"/>
        <c:minorTickMark val="none"/>
        <c:tickLblPos val="nextTo"/>
        <c:crossAx val="9497600"/>
        <c:crossesAt val="0"/>
        <c:auto val="1"/>
        <c:lblAlgn val="ctr"/>
        <c:lblOffset val="100"/>
        <c:noMultiLvlLbl val="0"/>
      </c:catAx>
      <c:valAx>
        <c:axId val="9497600"/>
        <c:scaling>
          <c:orientation val="minMax"/>
        </c:scaling>
        <c:delete val="0"/>
        <c:axPos val="l"/>
        <c:majorGridlines/>
        <c:numFmt formatCode="0.00%" sourceLinked="1"/>
        <c:majorTickMark val="none"/>
        <c:minorTickMark val="none"/>
        <c:tickLblPos val="nextTo"/>
        <c:crossAx val="94960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GB" sz="1400"/>
              <a:t>HC024 - Satisfaction</a:t>
            </a:r>
            <a:r>
              <a:rPr lang="en-GB" sz="1400" baseline="0"/>
              <a:t> with overall estate services</a:t>
            </a:r>
            <a:endParaRPr lang="en-GB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Sheet4!$C$20:$AA$20</c:f>
              <c:strCache>
                <c:ptCount val="25"/>
                <c:pt idx="0">
                  <c:v>Abingdon</c:v>
                </c:pt>
                <c:pt idx="1">
                  <c:v>Barton and Sandhills</c:v>
                </c:pt>
                <c:pt idx="2">
                  <c:v>Blackbird Leys</c:v>
                </c:pt>
                <c:pt idx="3">
                  <c:v>Carfax</c:v>
                </c:pt>
                <c:pt idx="4">
                  <c:v>Churchill</c:v>
                </c:pt>
                <c:pt idx="5">
                  <c:v>Cowley</c:v>
                </c:pt>
                <c:pt idx="6">
                  <c:v>Cowley Marsh</c:v>
                </c:pt>
                <c:pt idx="7">
                  <c:v>Headington</c:v>
                </c:pt>
                <c:pt idx="8">
                  <c:v>Headington Hill and Northway</c:v>
                </c:pt>
                <c:pt idx="9">
                  <c:v>Hinksey Park</c:v>
                </c:pt>
                <c:pt idx="10">
                  <c:v>Holywell</c:v>
                </c:pt>
                <c:pt idx="11">
                  <c:v>Iffley Fields</c:v>
                </c:pt>
                <c:pt idx="12">
                  <c:v>Jericho and Osney</c:v>
                </c:pt>
                <c:pt idx="13">
                  <c:v>Kidlington South</c:v>
                </c:pt>
                <c:pt idx="14">
                  <c:v>Littlemore</c:v>
                </c:pt>
                <c:pt idx="15">
                  <c:v>Lye Valley</c:v>
                </c:pt>
                <c:pt idx="16">
                  <c:v>Marston</c:v>
                </c:pt>
                <c:pt idx="17">
                  <c:v>North</c:v>
                </c:pt>
                <c:pt idx="18">
                  <c:v>Northfield Brook</c:v>
                </c:pt>
                <c:pt idx="19">
                  <c:v>Quarry and Risinghurst</c:v>
                </c:pt>
                <c:pt idx="20">
                  <c:v>Rose Hill and Iffley</c:v>
                </c:pt>
                <c:pt idx="21">
                  <c:v>St Clement's</c:v>
                </c:pt>
                <c:pt idx="22">
                  <c:v>St Mary's</c:v>
                </c:pt>
                <c:pt idx="23">
                  <c:v>Summertown</c:v>
                </c:pt>
                <c:pt idx="24">
                  <c:v>Wolvercote</c:v>
                </c:pt>
              </c:strCache>
            </c:strRef>
          </c:cat>
          <c:val>
            <c:numRef>
              <c:f>Sheet4!$C$21:$AA$21</c:f>
              <c:numCache>
                <c:formatCode>0.00%</c:formatCode>
                <c:ptCount val="25"/>
                <c:pt idx="0">
                  <c:v>0.55555500000000002</c:v>
                </c:pt>
                <c:pt idx="1">
                  <c:v>0.77272699999999994</c:v>
                </c:pt>
                <c:pt idx="2">
                  <c:v>0.84415499999999999</c:v>
                </c:pt>
                <c:pt idx="3">
                  <c:v>0.73333300000000001</c:v>
                </c:pt>
                <c:pt idx="4">
                  <c:v>0.72368399999999999</c:v>
                </c:pt>
                <c:pt idx="5">
                  <c:v>0.85000000000000009</c:v>
                </c:pt>
                <c:pt idx="6">
                  <c:v>0.71428500000000006</c:v>
                </c:pt>
                <c:pt idx="7">
                  <c:v>0.63636300000000001</c:v>
                </c:pt>
                <c:pt idx="8">
                  <c:v>0.57142899999999996</c:v>
                </c:pt>
                <c:pt idx="9">
                  <c:v>0.63636300000000001</c:v>
                </c:pt>
                <c:pt idx="10">
                  <c:v>0.66666700000000001</c:v>
                </c:pt>
                <c:pt idx="11">
                  <c:v>0.72222199999999992</c:v>
                </c:pt>
                <c:pt idx="12">
                  <c:v>0.64705900000000005</c:v>
                </c:pt>
                <c:pt idx="13">
                  <c:v>0.875</c:v>
                </c:pt>
                <c:pt idx="14">
                  <c:v>0.765625</c:v>
                </c:pt>
                <c:pt idx="15">
                  <c:v>0.5625</c:v>
                </c:pt>
                <c:pt idx="16">
                  <c:v>0.84000000000000008</c:v>
                </c:pt>
                <c:pt idx="17">
                  <c:v>1</c:v>
                </c:pt>
                <c:pt idx="18">
                  <c:v>0.89189099999999999</c:v>
                </c:pt>
                <c:pt idx="19">
                  <c:v>0.64516200000000001</c:v>
                </c:pt>
                <c:pt idx="20">
                  <c:v>0.566666</c:v>
                </c:pt>
                <c:pt idx="21">
                  <c:v>0.84615400000000007</c:v>
                </c:pt>
                <c:pt idx="22">
                  <c:v>0.66666599999999998</c:v>
                </c:pt>
                <c:pt idx="23">
                  <c:v>0.60714299999999999</c:v>
                </c:pt>
                <c:pt idx="24">
                  <c:v>0.86363599999999996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8310016"/>
        <c:axId val="81510784"/>
      </c:barChart>
      <c:catAx>
        <c:axId val="78310016"/>
        <c:scaling>
          <c:orientation val="minMax"/>
        </c:scaling>
        <c:delete val="0"/>
        <c:axPos val="b"/>
        <c:majorTickMark val="none"/>
        <c:minorTickMark val="none"/>
        <c:tickLblPos val="nextTo"/>
        <c:crossAx val="81510784"/>
        <c:crosses val="autoZero"/>
        <c:auto val="1"/>
        <c:lblAlgn val="ctr"/>
        <c:lblOffset val="100"/>
        <c:noMultiLvlLbl val="0"/>
      </c:catAx>
      <c:valAx>
        <c:axId val="81510784"/>
        <c:scaling>
          <c:orientation val="minMax"/>
        </c:scaling>
        <c:delete val="0"/>
        <c:axPos val="l"/>
        <c:majorGridlines/>
        <c:numFmt formatCode="0.00%" sourceLinked="1"/>
        <c:majorTickMark val="none"/>
        <c:minorTickMark val="none"/>
        <c:tickLblPos val="nextTo"/>
        <c:crossAx val="783100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727EAE2B</Template>
  <TotalTime>1</TotalTime>
  <Pages>5</Pages>
  <Words>489</Words>
  <Characters>2791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allison.dalton</dc:creator>
  <cp:lastModifiedBy>Mathew.Metcalfe</cp:lastModifiedBy>
  <cp:revision>2</cp:revision>
  <dcterms:created xsi:type="dcterms:W3CDTF">2013-11-25T14:33:00Z</dcterms:created>
  <dcterms:modified xsi:type="dcterms:W3CDTF">2013-11-25T14:33:00Z</dcterms:modified>
</cp:coreProperties>
</file>

<file path=docProps/custom.xml><?xml version="1.0" encoding="utf-8"?>
<op:Properties xmlns:op="http://schemas.openxmlformats.org/officeDocument/2006/custom-properties"/>
</file>